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77" w:rsidRPr="006D7B63" w:rsidRDefault="007A3777">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7A3777" w:rsidRPr="006D7B63" w:rsidRDefault="007A3777">
      <w:pPr>
        <w:rPr>
          <w:rFonts w:ascii="Times New Roman" w:hAnsi="Times New Roman"/>
          <w:b/>
          <w:sz w:val="24"/>
          <w:szCs w:val="24"/>
        </w:rPr>
      </w:pPr>
    </w:p>
    <w:p w:rsidR="007A3777" w:rsidRPr="006D7B63" w:rsidRDefault="007A3777">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7A3777" w:rsidRPr="006D7B63" w:rsidRDefault="007A3777">
      <w:pPr>
        <w:rPr>
          <w:rFonts w:ascii="Times New Roman" w:hAnsi="Times New Roman"/>
          <w:b/>
          <w:sz w:val="24"/>
          <w:szCs w:val="24"/>
        </w:rPr>
      </w:pPr>
    </w:p>
    <w:p w:rsidR="007A3777" w:rsidRPr="006D7B63" w:rsidRDefault="007A3777">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842</w:t>
      </w:r>
    </w:p>
    <w:p w:rsidR="007A3777" w:rsidRPr="006D7B63" w:rsidRDefault="007A3777">
      <w:pPr>
        <w:rPr>
          <w:rFonts w:ascii="Times New Roman" w:hAnsi="Times New Roman"/>
          <w:b/>
          <w:sz w:val="24"/>
          <w:szCs w:val="24"/>
        </w:rPr>
      </w:pPr>
    </w:p>
    <w:p w:rsidR="007A3777" w:rsidRPr="006D7B63" w:rsidRDefault="007A3777">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18/03/2016</w:t>
      </w:r>
    </w:p>
    <w:p w:rsidR="007A3777" w:rsidRDefault="007A3777">
      <w:pPr>
        <w:rPr>
          <w:rFonts w:ascii="Times New Roman" w:hAnsi="Times New Roman"/>
          <w:b/>
          <w:sz w:val="24"/>
          <w:szCs w:val="24"/>
          <w:u w:val="single"/>
        </w:rPr>
      </w:pPr>
      <w:r>
        <w:rPr>
          <w:rFonts w:ascii="Times New Roman" w:hAnsi="Times New Roman"/>
          <w:b/>
          <w:sz w:val="24"/>
          <w:szCs w:val="24"/>
          <w:u w:val="single"/>
        </w:rPr>
        <w:t>INTERNAL QUESTION PAPER: 09/2016</w:t>
      </w:r>
    </w:p>
    <w:p w:rsidR="007A3777" w:rsidRPr="00F508E4" w:rsidRDefault="007A3777" w:rsidP="00F508E4">
      <w:pPr>
        <w:spacing w:before="100" w:beforeAutospacing="1" w:after="100" w:afterAutospacing="1" w:line="240" w:lineRule="auto"/>
        <w:ind w:left="851" w:hanging="709"/>
        <w:jc w:val="both"/>
        <w:outlineLvl w:val="0"/>
        <w:rPr>
          <w:rFonts w:ascii="Times New Roman" w:hAnsi="Times New Roman"/>
          <w:b/>
          <w:sz w:val="24"/>
          <w:szCs w:val="24"/>
          <w:lang w:val="en-GB"/>
        </w:rPr>
      </w:pPr>
      <w:r w:rsidRPr="00F508E4">
        <w:rPr>
          <w:rFonts w:ascii="Times New Roman" w:hAnsi="Times New Roman"/>
          <w:b/>
          <w:sz w:val="24"/>
          <w:szCs w:val="24"/>
          <w:lang w:val="en-GB"/>
        </w:rPr>
        <w:t>842.</w:t>
      </w:r>
      <w:r w:rsidRPr="00F508E4">
        <w:rPr>
          <w:rFonts w:ascii="Times New Roman" w:hAnsi="Times New Roman"/>
          <w:b/>
          <w:sz w:val="24"/>
          <w:szCs w:val="24"/>
          <w:lang w:val="en-GB"/>
        </w:rPr>
        <w:tab/>
        <w:t xml:space="preserve">Mr Y Cassim (DA) to </w:t>
      </w:r>
      <w:r w:rsidRPr="00F508E4">
        <w:rPr>
          <w:rFonts w:ascii="Times New Roman" w:hAnsi="Times New Roman"/>
          <w:b/>
          <w:sz w:val="24"/>
          <w:szCs w:val="24"/>
        </w:rPr>
        <w:t>ask</w:t>
      </w:r>
      <w:r w:rsidRPr="00F508E4">
        <w:rPr>
          <w:rFonts w:ascii="Times New Roman" w:hAnsi="Times New Roman"/>
          <w:b/>
          <w:sz w:val="24"/>
          <w:szCs w:val="24"/>
          <w:lang w:val="en-GB"/>
        </w:rPr>
        <w:t xml:space="preserve"> the Minister of Basic Education:</w:t>
      </w:r>
    </w:p>
    <w:p w:rsidR="007A3777" w:rsidRPr="00F508E4" w:rsidRDefault="007A3777" w:rsidP="00F508E4">
      <w:pPr>
        <w:spacing w:before="100" w:beforeAutospacing="1" w:after="100" w:afterAutospacing="1"/>
        <w:ind w:left="1440" w:hanging="589"/>
        <w:jc w:val="both"/>
        <w:outlineLvl w:val="0"/>
        <w:rPr>
          <w:rFonts w:ascii="Times New Roman" w:hAnsi="Times New Roman"/>
          <w:sz w:val="24"/>
          <w:szCs w:val="24"/>
          <w:lang w:val="af-ZA"/>
        </w:rPr>
      </w:pPr>
      <w:r w:rsidRPr="00F508E4">
        <w:rPr>
          <w:rFonts w:ascii="Times New Roman" w:hAnsi="Times New Roman"/>
          <w:sz w:val="24"/>
          <w:szCs w:val="24"/>
          <w:lang w:val="af-ZA"/>
        </w:rPr>
        <w:t>(1)</w:t>
      </w:r>
      <w:r w:rsidRPr="00F508E4">
        <w:rPr>
          <w:rFonts w:ascii="Times New Roman" w:hAnsi="Times New Roman"/>
          <w:sz w:val="24"/>
          <w:szCs w:val="24"/>
          <w:lang w:val="af-ZA"/>
        </w:rPr>
        <w:tab/>
        <w:t>(a) What was the overall budget of the National Education Collaboration Trust (NECT) for (i) 2013, (ii) 2014, (iii) 2015 and (iv) 2016 and (b) what amount of each budget was spent on (i) remuneration of staff, (ii) administration costs and (iii) projects;</w:t>
      </w:r>
    </w:p>
    <w:p w:rsidR="007A3777" w:rsidRPr="00F508E4" w:rsidRDefault="007A3777" w:rsidP="00F508E4">
      <w:pPr>
        <w:spacing w:before="100" w:beforeAutospacing="1" w:after="100" w:afterAutospacing="1"/>
        <w:ind w:left="1440" w:hanging="589"/>
        <w:jc w:val="both"/>
        <w:outlineLvl w:val="0"/>
        <w:rPr>
          <w:rFonts w:ascii="Times New Roman" w:hAnsi="Times New Roman"/>
          <w:sz w:val="24"/>
          <w:szCs w:val="24"/>
          <w:lang w:val="af-ZA"/>
        </w:rPr>
      </w:pPr>
      <w:r w:rsidRPr="00F508E4">
        <w:rPr>
          <w:rFonts w:ascii="Times New Roman" w:hAnsi="Times New Roman"/>
          <w:sz w:val="24"/>
          <w:szCs w:val="24"/>
          <w:lang w:val="af-ZA"/>
        </w:rPr>
        <w:t>(2)</w:t>
      </w:r>
      <w:r w:rsidRPr="00F508E4">
        <w:rPr>
          <w:rFonts w:ascii="Times New Roman" w:hAnsi="Times New Roman"/>
          <w:sz w:val="24"/>
          <w:szCs w:val="24"/>
          <w:lang w:val="af-ZA"/>
        </w:rPr>
        <w:tab/>
        <w:t>(a) how many times has a meeting of the NECT Board of Trustees and Executive Committee members been convened since the NECT was established in July 2013 and (b) in each case, provide the (i) date, (ii) venue and (iii) names of the attendees for each meeting?</w:t>
      </w:r>
      <w:r w:rsidRPr="00F508E4">
        <w:rPr>
          <w:rFonts w:ascii="Times New Roman" w:hAnsi="Times New Roman"/>
          <w:sz w:val="24"/>
          <w:szCs w:val="24"/>
          <w:lang w:val="af-ZA"/>
        </w:rPr>
        <w:tab/>
      </w:r>
      <w:r w:rsidRPr="00F508E4">
        <w:rPr>
          <w:rFonts w:ascii="Times New Roman" w:hAnsi="Times New Roman"/>
          <w:sz w:val="24"/>
          <w:szCs w:val="24"/>
          <w:lang w:val="af-ZA"/>
        </w:rPr>
        <w:tab/>
      </w:r>
      <w:r w:rsidRPr="00F508E4">
        <w:rPr>
          <w:rFonts w:ascii="Times New Roman" w:hAnsi="Times New Roman"/>
          <w:sz w:val="24"/>
          <w:szCs w:val="24"/>
          <w:lang w:val="af-ZA"/>
        </w:rPr>
        <w:tab/>
      </w:r>
      <w:r w:rsidRPr="00F508E4">
        <w:rPr>
          <w:rFonts w:ascii="Times New Roman" w:hAnsi="Times New Roman"/>
          <w:sz w:val="20"/>
          <w:szCs w:val="20"/>
          <w:lang w:val="af-ZA"/>
        </w:rPr>
        <w:t>NW961E</w:t>
      </w:r>
    </w:p>
    <w:p w:rsidR="007A3777" w:rsidRPr="00B96A0B" w:rsidRDefault="007A3777" w:rsidP="00D2088F">
      <w:pPr>
        <w:rPr>
          <w:rFonts w:ascii="Arial" w:hAnsi="Arial" w:cs="Arial"/>
          <w:b/>
          <w:sz w:val="24"/>
          <w:szCs w:val="24"/>
        </w:rPr>
      </w:pPr>
      <w:r w:rsidRPr="00B96A0B">
        <w:rPr>
          <w:rFonts w:ascii="Arial" w:hAnsi="Arial" w:cs="Arial"/>
          <w:b/>
          <w:sz w:val="24"/>
          <w:szCs w:val="24"/>
        </w:rPr>
        <w:t xml:space="preserve">REPLY: </w:t>
      </w:r>
    </w:p>
    <w:p w:rsidR="007A3777" w:rsidRPr="00B96A0B" w:rsidRDefault="007A3777" w:rsidP="00D2088F">
      <w:pPr>
        <w:pStyle w:val="ListParagraph"/>
        <w:numPr>
          <w:ilvl w:val="0"/>
          <w:numId w:val="1"/>
        </w:numPr>
        <w:ind w:left="1418" w:hanging="567"/>
        <w:rPr>
          <w:rFonts w:ascii="Arial" w:hAnsi="Arial" w:cs="Arial"/>
          <w:sz w:val="24"/>
          <w:szCs w:val="24"/>
          <w:lang w:val="af-ZA"/>
        </w:rPr>
      </w:pPr>
      <w:r w:rsidRPr="00B96A0B">
        <w:rPr>
          <w:rFonts w:ascii="Arial" w:hAnsi="Arial" w:cs="Arial"/>
          <w:sz w:val="24"/>
          <w:szCs w:val="24"/>
          <w:lang w:val="af-ZA"/>
        </w:rPr>
        <w:t>The overall budget of the National Education Collaboration Trust (NECT) and the sources the amount was spent on are as follows:</w:t>
      </w:r>
    </w:p>
    <w:tbl>
      <w:tblPr>
        <w:tblW w:w="86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
        <w:gridCol w:w="2590"/>
        <w:gridCol w:w="1685"/>
        <w:gridCol w:w="1685"/>
        <w:gridCol w:w="1685"/>
      </w:tblGrid>
      <w:tr w:rsidR="007A3777" w:rsidRPr="007402FB" w:rsidTr="007402FB">
        <w:trPr>
          <w:trHeight w:val="300"/>
        </w:trPr>
        <w:tc>
          <w:tcPr>
            <w:tcW w:w="1026" w:type="dxa"/>
            <w:tcBorders>
              <w:top w:val="nil"/>
              <w:left w:val="nil"/>
              <w:bottom w:val="nil"/>
              <w:right w:val="nil"/>
            </w:tcBorders>
          </w:tcPr>
          <w:p w:rsidR="007A3777" w:rsidRPr="007402FB" w:rsidRDefault="007A3777" w:rsidP="007402FB">
            <w:pPr>
              <w:spacing w:after="0" w:line="240" w:lineRule="auto"/>
              <w:rPr>
                <w:rFonts w:ascii="Arial" w:hAnsi="Arial" w:cs="Arial"/>
                <w:sz w:val="24"/>
                <w:szCs w:val="24"/>
                <w:lang w:val="af-ZA"/>
              </w:rPr>
            </w:pPr>
          </w:p>
        </w:tc>
        <w:tc>
          <w:tcPr>
            <w:tcW w:w="2590" w:type="dxa"/>
            <w:tcBorders>
              <w:top w:val="nil"/>
              <w:left w:val="nil"/>
              <w:bottom w:val="nil"/>
            </w:tcBorders>
            <w:noWrap/>
          </w:tcPr>
          <w:p w:rsidR="007A3777" w:rsidRPr="007402FB" w:rsidRDefault="007A3777" w:rsidP="007402FB">
            <w:pPr>
              <w:spacing w:after="0" w:line="240" w:lineRule="auto"/>
              <w:rPr>
                <w:rFonts w:ascii="Arial" w:hAnsi="Arial" w:cs="Arial"/>
                <w:sz w:val="24"/>
                <w:szCs w:val="24"/>
                <w:lang w:val="af-ZA"/>
              </w:rPr>
            </w:pPr>
          </w:p>
        </w:tc>
        <w:tc>
          <w:tcPr>
            <w:tcW w:w="1685" w:type="dxa"/>
            <w:noWrap/>
          </w:tcPr>
          <w:p w:rsidR="007A3777" w:rsidRPr="007402FB" w:rsidRDefault="007A3777" w:rsidP="007402FB">
            <w:pPr>
              <w:spacing w:after="0" w:line="240" w:lineRule="auto"/>
              <w:jc w:val="center"/>
              <w:rPr>
                <w:rFonts w:ascii="Arial" w:hAnsi="Arial" w:cs="Arial"/>
                <w:b/>
                <w:sz w:val="24"/>
                <w:szCs w:val="24"/>
                <w:lang w:val="af-ZA"/>
              </w:rPr>
            </w:pPr>
            <w:r w:rsidRPr="007402FB">
              <w:rPr>
                <w:rFonts w:ascii="Arial" w:hAnsi="Arial" w:cs="Arial"/>
                <w:b/>
                <w:sz w:val="24"/>
                <w:szCs w:val="24"/>
                <w:lang w:val="af-ZA"/>
              </w:rPr>
              <w:t>*2013</w:t>
            </w:r>
          </w:p>
          <w:p w:rsidR="007A3777" w:rsidRPr="007402FB" w:rsidRDefault="007A3777" w:rsidP="007402FB">
            <w:pPr>
              <w:spacing w:after="0" w:line="240" w:lineRule="auto"/>
              <w:jc w:val="center"/>
              <w:rPr>
                <w:rFonts w:ascii="Arial" w:hAnsi="Arial" w:cs="Arial"/>
                <w:b/>
                <w:sz w:val="24"/>
                <w:szCs w:val="24"/>
                <w:lang w:val="af-ZA"/>
              </w:rPr>
            </w:pPr>
            <w:r w:rsidRPr="007402FB">
              <w:rPr>
                <w:rFonts w:ascii="Arial" w:hAnsi="Arial" w:cs="Arial"/>
                <w:b/>
                <w:sz w:val="24"/>
                <w:szCs w:val="24"/>
                <w:lang w:val="af-ZA"/>
              </w:rPr>
              <w:t>and 2014</w:t>
            </w:r>
          </w:p>
        </w:tc>
        <w:tc>
          <w:tcPr>
            <w:tcW w:w="1685" w:type="dxa"/>
            <w:noWrap/>
          </w:tcPr>
          <w:p w:rsidR="007A3777" w:rsidRPr="007402FB" w:rsidRDefault="007A3777" w:rsidP="007402FB">
            <w:pPr>
              <w:spacing w:after="0" w:line="240" w:lineRule="auto"/>
              <w:jc w:val="center"/>
              <w:rPr>
                <w:rFonts w:ascii="Arial" w:hAnsi="Arial" w:cs="Arial"/>
                <w:b/>
                <w:sz w:val="24"/>
                <w:szCs w:val="24"/>
                <w:lang w:val="af-ZA"/>
              </w:rPr>
            </w:pPr>
            <w:r w:rsidRPr="007402FB">
              <w:rPr>
                <w:rFonts w:ascii="Arial" w:hAnsi="Arial" w:cs="Arial"/>
                <w:b/>
                <w:sz w:val="24"/>
                <w:szCs w:val="24"/>
                <w:lang w:val="af-ZA"/>
              </w:rPr>
              <w:t>2015</w:t>
            </w:r>
          </w:p>
        </w:tc>
        <w:tc>
          <w:tcPr>
            <w:tcW w:w="1685" w:type="dxa"/>
          </w:tcPr>
          <w:p w:rsidR="007A3777" w:rsidRPr="007402FB" w:rsidRDefault="007A3777" w:rsidP="007402FB">
            <w:pPr>
              <w:spacing w:after="0" w:line="240" w:lineRule="auto"/>
              <w:jc w:val="center"/>
              <w:rPr>
                <w:rFonts w:ascii="Arial" w:hAnsi="Arial" w:cs="Arial"/>
                <w:b/>
                <w:sz w:val="24"/>
                <w:szCs w:val="24"/>
                <w:lang w:val="af-ZA"/>
              </w:rPr>
            </w:pPr>
            <w:r w:rsidRPr="007402FB">
              <w:rPr>
                <w:rFonts w:ascii="Arial" w:hAnsi="Arial" w:cs="Arial"/>
                <w:b/>
                <w:sz w:val="24"/>
                <w:szCs w:val="24"/>
                <w:lang w:val="af-ZA"/>
              </w:rPr>
              <w:t>2016</w:t>
            </w:r>
          </w:p>
        </w:tc>
      </w:tr>
      <w:tr w:rsidR="007A3777" w:rsidRPr="007402FB" w:rsidTr="007402FB">
        <w:trPr>
          <w:trHeight w:val="300"/>
        </w:trPr>
        <w:tc>
          <w:tcPr>
            <w:tcW w:w="1026" w:type="dxa"/>
            <w:tcBorders>
              <w:top w:val="nil"/>
              <w:left w:val="nil"/>
              <w:right w:val="nil"/>
            </w:tcBorders>
          </w:tcPr>
          <w:p w:rsidR="007A3777" w:rsidRPr="007402FB" w:rsidRDefault="007A3777" w:rsidP="007402FB">
            <w:pPr>
              <w:spacing w:after="0" w:line="240" w:lineRule="auto"/>
              <w:rPr>
                <w:rFonts w:ascii="Arial" w:hAnsi="Arial" w:cs="Arial"/>
                <w:b/>
                <w:sz w:val="24"/>
                <w:szCs w:val="24"/>
                <w:lang w:val="af-ZA"/>
              </w:rPr>
            </w:pPr>
          </w:p>
        </w:tc>
        <w:tc>
          <w:tcPr>
            <w:tcW w:w="2590" w:type="dxa"/>
            <w:tcBorders>
              <w:top w:val="nil"/>
              <w:left w:val="nil"/>
            </w:tcBorders>
            <w:noWrap/>
          </w:tcPr>
          <w:p w:rsidR="007A3777" w:rsidRPr="007402FB" w:rsidRDefault="007A3777" w:rsidP="007402FB">
            <w:pPr>
              <w:spacing w:after="0" w:line="240" w:lineRule="auto"/>
              <w:rPr>
                <w:rFonts w:ascii="Arial" w:hAnsi="Arial" w:cs="Arial"/>
                <w:b/>
                <w:sz w:val="24"/>
                <w:szCs w:val="24"/>
                <w:lang w:val="af-ZA"/>
              </w:rPr>
            </w:pPr>
          </w:p>
        </w:tc>
        <w:tc>
          <w:tcPr>
            <w:tcW w:w="1685" w:type="dxa"/>
            <w:noWrap/>
          </w:tcPr>
          <w:p w:rsidR="007A3777" w:rsidRPr="007402FB" w:rsidRDefault="007A3777" w:rsidP="007402FB">
            <w:pPr>
              <w:spacing w:after="0" w:line="240" w:lineRule="auto"/>
              <w:jc w:val="center"/>
              <w:rPr>
                <w:rFonts w:ascii="Arial" w:hAnsi="Arial" w:cs="Arial"/>
                <w:b/>
                <w:sz w:val="24"/>
                <w:szCs w:val="24"/>
                <w:lang w:val="af-ZA"/>
              </w:rPr>
            </w:pPr>
            <w:r w:rsidRPr="007402FB">
              <w:rPr>
                <w:rFonts w:ascii="Arial" w:hAnsi="Arial" w:cs="Arial"/>
                <w:b/>
                <w:sz w:val="24"/>
                <w:szCs w:val="24"/>
                <w:lang w:val="af-ZA"/>
              </w:rPr>
              <w:t>R’000</w:t>
            </w:r>
          </w:p>
        </w:tc>
        <w:tc>
          <w:tcPr>
            <w:tcW w:w="1685" w:type="dxa"/>
            <w:noWrap/>
          </w:tcPr>
          <w:p w:rsidR="007A3777" w:rsidRPr="007402FB" w:rsidRDefault="007A3777" w:rsidP="007402FB">
            <w:pPr>
              <w:spacing w:after="0" w:line="240" w:lineRule="auto"/>
              <w:jc w:val="center"/>
              <w:rPr>
                <w:rFonts w:ascii="Arial" w:hAnsi="Arial" w:cs="Arial"/>
                <w:b/>
                <w:sz w:val="24"/>
                <w:szCs w:val="24"/>
                <w:lang w:val="af-ZA"/>
              </w:rPr>
            </w:pPr>
            <w:r w:rsidRPr="007402FB">
              <w:rPr>
                <w:rFonts w:ascii="Arial" w:hAnsi="Arial" w:cs="Arial"/>
                <w:b/>
                <w:sz w:val="24"/>
                <w:szCs w:val="24"/>
                <w:lang w:val="af-ZA"/>
              </w:rPr>
              <w:t>R’000</w:t>
            </w:r>
          </w:p>
        </w:tc>
        <w:tc>
          <w:tcPr>
            <w:tcW w:w="1685" w:type="dxa"/>
          </w:tcPr>
          <w:p w:rsidR="007A3777" w:rsidRPr="007402FB" w:rsidRDefault="007A3777" w:rsidP="007402FB">
            <w:pPr>
              <w:spacing w:after="0" w:line="240" w:lineRule="auto"/>
              <w:jc w:val="center"/>
              <w:rPr>
                <w:rFonts w:ascii="Arial" w:hAnsi="Arial" w:cs="Arial"/>
                <w:b/>
                <w:sz w:val="24"/>
                <w:szCs w:val="24"/>
                <w:lang w:val="af-ZA"/>
              </w:rPr>
            </w:pPr>
            <w:r w:rsidRPr="007402FB">
              <w:rPr>
                <w:rFonts w:ascii="Arial" w:hAnsi="Arial" w:cs="Arial"/>
                <w:b/>
                <w:sz w:val="24"/>
                <w:szCs w:val="24"/>
                <w:lang w:val="af-ZA"/>
              </w:rPr>
              <w:t>R’000</w:t>
            </w:r>
          </w:p>
        </w:tc>
      </w:tr>
      <w:tr w:rsidR="007A3777" w:rsidRPr="007402FB" w:rsidTr="007402FB">
        <w:trPr>
          <w:trHeight w:val="300"/>
        </w:trPr>
        <w:tc>
          <w:tcPr>
            <w:tcW w:w="1026" w:type="dxa"/>
          </w:tcPr>
          <w:p w:rsidR="007A3777" w:rsidRPr="007402FB" w:rsidRDefault="007A3777" w:rsidP="007402FB">
            <w:pPr>
              <w:spacing w:after="0" w:line="240" w:lineRule="auto"/>
              <w:rPr>
                <w:rFonts w:ascii="Arial" w:hAnsi="Arial" w:cs="Arial"/>
                <w:sz w:val="24"/>
                <w:szCs w:val="24"/>
                <w:lang w:val="af-ZA"/>
              </w:rPr>
            </w:pPr>
            <w:r w:rsidRPr="007402FB">
              <w:rPr>
                <w:rFonts w:ascii="Arial" w:hAnsi="Arial" w:cs="Arial"/>
                <w:sz w:val="24"/>
                <w:szCs w:val="24"/>
                <w:lang w:val="af-ZA"/>
              </w:rPr>
              <w:t>(a)</w:t>
            </w:r>
          </w:p>
        </w:tc>
        <w:tc>
          <w:tcPr>
            <w:tcW w:w="2590" w:type="dxa"/>
            <w:noWrap/>
          </w:tcPr>
          <w:p w:rsidR="007A3777" w:rsidRPr="007402FB" w:rsidRDefault="007A3777" w:rsidP="007402FB">
            <w:pPr>
              <w:spacing w:after="0" w:line="240" w:lineRule="auto"/>
              <w:rPr>
                <w:rFonts w:ascii="Arial" w:hAnsi="Arial" w:cs="Arial"/>
                <w:sz w:val="24"/>
                <w:szCs w:val="24"/>
                <w:lang w:val="af-ZA"/>
              </w:rPr>
            </w:pPr>
            <w:r w:rsidRPr="007402FB">
              <w:rPr>
                <w:rFonts w:ascii="Arial" w:hAnsi="Arial" w:cs="Arial"/>
                <w:sz w:val="24"/>
                <w:szCs w:val="24"/>
                <w:lang w:val="af-ZA"/>
              </w:rPr>
              <w:t>Budget</w:t>
            </w:r>
          </w:p>
        </w:tc>
        <w:tc>
          <w:tcPr>
            <w:tcW w:w="1685" w:type="dxa"/>
            <w:noWrap/>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111 608 742</w:t>
            </w:r>
          </w:p>
        </w:tc>
        <w:tc>
          <w:tcPr>
            <w:tcW w:w="1685" w:type="dxa"/>
            <w:noWrap/>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196 264 895</w:t>
            </w:r>
          </w:p>
        </w:tc>
        <w:tc>
          <w:tcPr>
            <w:tcW w:w="1685" w:type="dxa"/>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225 377 018</w:t>
            </w:r>
          </w:p>
        </w:tc>
      </w:tr>
      <w:tr w:rsidR="007A3777" w:rsidRPr="007402FB" w:rsidTr="007402FB">
        <w:trPr>
          <w:trHeight w:val="300"/>
        </w:trPr>
        <w:tc>
          <w:tcPr>
            <w:tcW w:w="1026" w:type="dxa"/>
          </w:tcPr>
          <w:p w:rsidR="007A3777" w:rsidRPr="007402FB" w:rsidRDefault="007A3777" w:rsidP="007402FB">
            <w:pPr>
              <w:spacing w:after="0" w:line="240" w:lineRule="auto"/>
              <w:rPr>
                <w:rFonts w:ascii="Arial" w:hAnsi="Arial" w:cs="Arial"/>
                <w:sz w:val="24"/>
                <w:szCs w:val="24"/>
                <w:lang w:val="af-ZA"/>
              </w:rPr>
            </w:pPr>
            <w:r w:rsidRPr="007402FB">
              <w:rPr>
                <w:rFonts w:ascii="Arial" w:hAnsi="Arial" w:cs="Arial"/>
                <w:sz w:val="24"/>
                <w:szCs w:val="24"/>
                <w:lang w:val="af-ZA"/>
              </w:rPr>
              <w:t>(b) (i)</w:t>
            </w:r>
          </w:p>
        </w:tc>
        <w:tc>
          <w:tcPr>
            <w:tcW w:w="2590" w:type="dxa"/>
            <w:noWrap/>
          </w:tcPr>
          <w:p w:rsidR="007A3777" w:rsidRPr="007402FB" w:rsidRDefault="007A3777" w:rsidP="007402FB">
            <w:pPr>
              <w:spacing w:after="0" w:line="240" w:lineRule="auto"/>
              <w:rPr>
                <w:rFonts w:ascii="Arial" w:hAnsi="Arial" w:cs="Arial"/>
                <w:sz w:val="24"/>
                <w:szCs w:val="24"/>
                <w:lang w:val="af-ZA"/>
              </w:rPr>
            </w:pPr>
            <w:r w:rsidRPr="007402FB">
              <w:rPr>
                <w:rFonts w:ascii="Arial" w:hAnsi="Arial" w:cs="Arial"/>
                <w:sz w:val="24"/>
                <w:szCs w:val="24"/>
                <w:lang w:val="af-ZA"/>
              </w:rPr>
              <w:t>Remuneration of staff</w:t>
            </w:r>
          </w:p>
        </w:tc>
        <w:tc>
          <w:tcPr>
            <w:tcW w:w="1685" w:type="dxa"/>
            <w:noWrap/>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5 504 075</w:t>
            </w:r>
          </w:p>
        </w:tc>
        <w:tc>
          <w:tcPr>
            <w:tcW w:w="1685" w:type="dxa"/>
            <w:noWrap/>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6 175 199</w:t>
            </w:r>
          </w:p>
        </w:tc>
        <w:tc>
          <w:tcPr>
            <w:tcW w:w="1685" w:type="dxa"/>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6 989 530</w:t>
            </w:r>
          </w:p>
        </w:tc>
      </w:tr>
      <w:tr w:rsidR="007A3777" w:rsidRPr="007402FB" w:rsidTr="007402FB">
        <w:trPr>
          <w:trHeight w:val="300"/>
        </w:trPr>
        <w:tc>
          <w:tcPr>
            <w:tcW w:w="1026" w:type="dxa"/>
          </w:tcPr>
          <w:p w:rsidR="007A3777" w:rsidRPr="007402FB" w:rsidRDefault="007A3777" w:rsidP="007402FB">
            <w:pPr>
              <w:spacing w:after="0" w:line="240" w:lineRule="auto"/>
              <w:rPr>
                <w:rFonts w:ascii="Arial" w:hAnsi="Arial" w:cs="Arial"/>
              </w:rPr>
            </w:pPr>
            <w:r w:rsidRPr="007402FB">
              <w:rPr>
                <w:rFonts w:ascii="Arial" w:hAnsi="Arial" w:cs="Arial"/>
                <w:sz w:val="24"/>
                <w:szCs w:val="24"/>
                <w:lang w:val="af-ZA"/>
              </w:rPr>
              <w:t>(b) (ii)</w:t>
            </w:r>
          </w:p>
        </w:tc>
        <w:tc>
          <w:tcPr>
            <w:tcW w:w="2590" w:type="dxa"/>
            <w:noWrap/>
          </w:tcPr>
          <w:p w:rsidR="007A3777" w:rsidRPr="007402FB" w:rsidRDefault="007A3777" w:rsidP="007402FB">
            <w:pPr>
              <w:spacing w:after="0" w:line="240" w:lineRule="auto"/>
              <w:rPr>
                <w:rFonts w:ascii="Arial" w:hAnsi="Arial" w:cs="Arial"/>
                <w:sz w:val="24"/>
                <w:szCs w:val="24"/>
                <w:lang w:val="af-ZA"/>
              </w:rPr>
            </w:pPr>
            <w:r w:rsidRPr="007402FB">
              <w:rPr>
                <w:rFonts w:ascii="Arial" w:hAnsi="Arial" w:cs="Arial"/>
                <w:sz w:val="24"/>
                <w:szCs w:val="24"/>
                <w:lang w:val="af-ZA"/>
              </w:rPr>
              <w:t>Administration costs</w:t>
            </w:r>
          </w:p>
        </w:tc>
        <w:tc>
          <w:tcPr>
            <w:tcW w:w="1685" w:type="dxa"/>
            <w:noWrap/>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4 000 776</w:t>
            </w:r>
          </w:p>
        </w:tc>
        <w:tc>
          <w:tcPr>
            <w:tcW w:w="1685" w:type="dxa"/>
            <w:noWrap/>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3 076 448</w:t>
            </w:r>
          </w:p>
        </w:tc>
        <w:tc>
          <w:tcPr>
            <w:tcW w:w="1685" w:type="dxa"/>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2 544 791</w:t>
            </w:r>
          </w:p>
        </w:tc>
      </w:tr>
      <w:tr w:rsidR="007A3777" w:rsidRPr="007402FB" w:rsidTr="007402FB">
        <w:trPr>
          <w:trHeight w:val="300"/>
        </w:trPr>
        <w:tc>
          <w:tcPr>
            <w:tcW w:w="1026" w:type="dxa"/>
          </w:tcPr>
          <w:p w:rsidR="007A3777" w:rsidRPr="007402FB" w:rsidRDefault="007A3777" w:rsidP="007402FB">
            <w:pPr>
              <w:spacing w:after="0" w:line="240" w:lineRule="auto"/>
              <w:rPr>
                <w:rFonts w:ascii="Arial" w:hAnsi="Arial" w:cs="Arial"/>
              </w:rPr>
            </w:pPr>
            <w:r w:rsidRPr="007402FB">
              <w:rPr>
                <w:rFonts w:ascii="Arial" w:hAnsi="Arial" w:cs="Arial"/>
                <w:sz w:val="24"/>
                <w:szCs w:val="24"/>
                <w:lang w:val="af-ZA"/>
              </w:rPr>
              <w:t>(b) (iii)</w:t>
            </w:r>
          </w:p>
        </w:tc>
        <w:tc>
          <w:tcPr>
            <w:tcW w:w="2590" w:type="dxa"/>
            <w:noWrap/>
          </w:tcPr>
          <w:p w:rsidR="007A3777" w:rsidRPr="007402FB" w:rsidRDefault="007A3777" w:rsidP="007402FB">
            <w:pPr>
              <w:spacing w:after="0" w:line="240" w:lineRule="auto"/>
              <w:rPr>
                <w:rFonts w:ascii="Arial" w:hAnsi="Arial" w:cs="Arial"/>
                <w:sz w:val="24"/>
                <w:szCs w:val="24"/>
                <w:lang w:val="af-ZA"/>
              </w:rPr>
            </w:pPr>
            <w:r w:rsidRPr="007402FB">
              <w:rPr>
                <w:rFonts w:ascii="Arial" w:hAnsi="Arial" w:cs="Arial"/>
                <w:sz w:val="24"/>
                <w:szCs w:val="24"/>
                <w:lang w:val="af-ZA"/>
              </w:rPr>
              <w:t>Projects</w:t>
            </w:r>
          </w:p>
        </w:tc>
        <w:tc>
          <w:tcPr>
            <w:tcW w:w="1685" w:type="dxa"/>
            <w:noWrap/>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102 103 891</w:t>
            </w:r>
          </w:p>
        </w:tc>
        <w:tc>
          <w:tcPr>
            <w:tcW w:w="1685" w:type="dxa"/>
            <w:noWrap/>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187 013 248</w:t>
            </w:r>
          </w:p>
        </w:tc>
        <w:tc>
          <w:tcPr>
            <w:tcW w:w="1685" w:type="dxa"/>
            <w:vAlign w:val="bottom"/>
          </w:tcPr>
          <w:p w:rsidR="007A3777" w:rsidRPr="007402FB" w:rsidRDefault="007A3777" w:rsidP="007402FB">
            <w:pPr>
              <w:spacing w:after="0" w:line="240" w:lineRule="auto"/>
              <w:jc w:val="right"/>
              <w:rPr>
                <w:rFonts w:ascii="Arial" w:hAnsi="Arial" w:cs="Arial"/>
                <w:sz w:val="24"/>
                <w:szCs w:val="24"/>
                <w:lang w:val="af-ZA"/>
              </w:rPr>
            </w:pPr>
            <w:r w:rsidRPr="007402FB">
              <w:rPr>
                <w:rFonts w:ascii="Arial" w:hAnsi="Arial" w:cs="Arial"/>
                <w:sz w:val="24"/>
                <w:szCs w:val="24"/>
                <w:lang w:val="af-ZA"/>
              </w:rPr>
              <w:t>215 842 697</w:t>
            </w:r>
          </w:p>
        </w:tc>
      </w:tr>
    </w:tbl>
    <w:p w:rsidR="007A3777" w:rsidRPr="00B96A0B" w:rsidRDefault="007A3777" w:rsidP="00D2088F">
      <w:pPr>
        <w:pStyle w:val="ListParagraph"/>
        <w:rPr>
          <w:rFonts w:ascii="Arial" w:hAnsi="Arial" w:cs="Arial"/>
        </w:rPr>
      </w:pPr>
    </w:p>
    <w:p w:rsidR="007A3777" w:rsidRPr="00B96A0B" w:rsidRDefault="007A3777" w:rsidP="00D2088F">
      <w:pPr>
        <w:pStyle w:val="ListParagraph"/>
        <w:rPr>
          <w:rFonts w:ascii="Arial" w:hAnsi="Arial" w:cs="Arial"/>
          <w:i/>
        </w:rPr>
      </w:pPr>
      <w:r w:rsidRPr="00B96A0B">
        <w:rPr>
          <w:rFonts w:ascii="Arial" w:hAnsi="Arial" w:cs="Arial"/>
          <w:i/>
        </w:rPr>
        <w:t>*The NECT’s initial financial year was for 18 months (1 July 2013 to 31 December 2014) due to this the figures for 2013 and 2014 is combined.</w:t>
      </w:r>
    </w:p>
    <w:p w:rsidR="007A3777" w:rsidRDefault="007A3777" w:rsidP="00D2088F">
      <w:pPr>
        <w:pStyle w:val="ListParagraph"/>
        <w:rPr>
          <w:rFonts w:ascii="Times New Roman" w:hAnsi="Times New Roman"/>
          <w:i/>
        </w:rPr>
      </w:pPr>
    </w:p>
    <w:p w:rsidR="007A3777" w:rsidRDefault="007A3777" w:rsidP="00D2088F">
      <w:pPr>
        <w:rPr>
          <w:rFonts w:ascii="Times New Roman" w:hAnsi="Times New Roman"/>
        </w:rPr>
      </w:pPr>
    </w:p>
    <w:p w:rsidR="007A3777" w:rsidRDefault="007A3777" w:rsidP="00D2088F">
      <w:pPr>
        <w:rPr>
          <w:rFonts w:ascii="Times New Roman" w:hAnsi="Times New Roman"/>
        </w:rPr>
      </w:pPr>
    </w:p>
    <w:p w:rsidR="007A3777" w:rsidRDefault="007A3777" w:rsidP="00D2088F">
      <w:pPr>
        <w:spacing w:after="0" w:line="240" w:lineRule="auto"/>
        <w:rPr>
          <w:b/>
          <w:bCs/>
          <w:color w:val="000000"/>
          <w:lang w:eastAsia="en-ZA"/>
        </w:rPr>
        <w:sectPr w:rsidR="007A3777">
          <w:pgSz w:w="11906" w:h="16838"/>
          <w:pgMar w:top="1440" w:right="1440" w:bottom="1440" w:left="1440" w:header="708" w:footer="708" w:gutter="0"/>
          <w:cols w:space="708"/>
          <w:docGrid w:linePitch="360"/>
        </w:sectPr>
      </w:pPr>
    </w:p>
    <w:p w:rsidR="007A3777" w:rsidRPr="008E4BC4" w:rsidRDefault="007A3777" w:rsidP="00D2088F">
      <w:pPr>
        <w:pStyle w:val="ListParagraph"/>
        <w:numPr>
          <w:ilvl w:val="0"/>
          <w:numId w:val="1"/>
        </w:numPr>
        <w:tabs>
          <w:tab w:val="left" w:pos="851"/>
        </w:tabs>
        <w:ind w:left="284" w:hanging="284"/>
        <w:rPr>
          <w:rFonts w:ascii="Arial" w:hAnsi="Arial" w:cs="Arial"/>
        </w:rPr>
      </w:pPr>
      <w:r w:rsidRPr="008E4BC4">
        <w:rPr>
          <w:rFonts w:ascii="Arial" w:hAnsi="Arial" w:cs="Arial"/>
          <w:sz w:val="24"/>
          <w:szCs w:val="24"/>
          <w:lang w:val="af-ZA"/>
        </w:rPr>
        <w:t xml:space="preserve"> (a)</w:t>
      </w:r>
      <w:r w:rsidRPr="008E4BC4">
        <w:rPr>
          <w:rFonts w:ascii="Arial" w:hAnsi="Arial" w:cs="Arial"/>
          <w:sz w:val="24"/>
          <w:szCs w:val="24"/>
          <w:lang w:val="af-ZA"/>
        </w:rPr>
        <w:tab/>
        <w:t>The NECT Board of Trustees, Executive Committee and the Audit and Risk Committee members convened 31 times since July 2013 and the detail are as follows:</w:t>
      </w:r>
    </w:p>
    <w:p w:rsidR="007A3777" w:rsidRPr="008E4BC4" w:rsidRDefault="007A3777" w:rsidP="00D2088F">
      <w:pPr>
        <w:tabs>
          <w:tab w:val="left" w:pos="851"/>
        </w:tabs>
        <w:rPr>
          <w:rFonts w:ascii="Arial" w:hAnsi="Arial" w:cs="Arial"/>
        </w:rPr>
      </w:pPr>
      <w:r w:rsidRPr="007402FB">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0pt;height:216.75pt;visibility:visible">
            <v:imagedata r:id="rId5" o:title=""/>
          </v:shape>
        </w:pict>
      </w:r>
    </w:p>
    <w:p w:rsidR="007A3777" w:rsidRPr="000F01E7" w:rsidRDefault="007A3777" w:rsidP="00D2088F">
      <w:pPr>
        <w:rPr>
          <w:rFonts w:ascii="Times New Roman" w:hAnsi="Times New Roman"/>
        </w:rPr>
        <w:sectPr w:rsidR="007A3777" w:rsidRPr="000F01E7" w:rsidSect="00A74840">
          <w:pgSz w:w="23814" w:h="16839" w:orient="landscape" w:code="8"/>
          <w:pgMar w:top="1440" w:right="1134" w:bottom="1440" w:left="1134" w:header="709" w:footer="709" w:gutter="0"/>
          <w:cols w:space="708"/>
          <w:docGrid w:linePitch="360"/>
        </w:sectPr>
      </w:pPr>
    </w:p>
    <w:p w:rsidR="007A3777" w:rsidRPr="006D7B63" w:rsidRDefault="007A3777" w:rsidP="007017AF">
      <w:pPr>
        <w:rPr>
          <w:rFonts w:ascii="Times New Roman" w:hAnsi="Times New Roman"/>
        </w:rPr>
      </w:pPr>
    </w:p>
    <w:sectPr w:rsidR="007A3777" w:rsidRPr="006D7B63" w:rsidSect="007551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654"/>
    <w:multiLevelType w:val="hybridMultilevel"/>
    <w:tmpl w:val="DA7A39AE"/>
    <w:lvl w:ilvl="0" w:tplc="C8B69558">
      <w:start w:val="1"/>
      <w:numFmt w:val="decimal"/>
      <w:lvlText w:val="(%1)"/>
      <w:lvlJc w:val="left"/>
      <w:pPr>
        <w:ind w:left="720" w:hanging="360"/>
      </w:pPr>
      <w:rPr>
        <w:rFonts w:eastAsia="Times New Roman" w:cs="Times New Roman" w:hint="default"/>
        <w:b w:val="0"/>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A2AAC"/>
    <w:rsid w:val="000F01E7"/>
    <w:rsid w:val="001415B1"/>
    <w:rsid w:val="0016311B"/>
    <w:rsid w:val="00170990"/>
    <w:rsid w:val="00183BCF"/>
    <w:rsid w:val="001E23F3"/>
    <w:rsid w:val="0027063B"/>
    <w:rsid w:val="002C32A6"/>
    <w:rsid w:val="003240BE"/>
    <w:rsid w:val="00336D8C"/>
    <w:rsid w:val="00343876"/>
    <w:rsid w:val="0037043F"/>
    <w:rsid w:val="003B39A7"/>
    <w:rsid w:val="00405587"/>
    <w:rsid w:val="004532C0"/>
    <w:rsid w:val="004A2F02"/>
    <w:rsid w:val="004F79F1"/>
    <w:rsid w:val="005676F7"/>
    <w:rsid w:val="00570560"/>
    <w:rsid w:val="005827AF"/>
    <w:rsid w:val="00615A3B"/>
    <w:rsid w:val="00692B11"/>
    <w:rsid w:val="006B3347"/>
    <w:rsid w:val="006C1F10"/>
    <w:rsid w:val="006D7B63"/>
    <w:rsid w:val="006F297B"/>
    <w:rsid w:val="007017AF"/>
    <w:rsid w:val="007402FB"/>
    <w:rsid w:val="00755197"/>
    <w:rsid w:val="007A3777"/>
    <w:rsid w:val="007A4190"/>
    <w:rsid w:val="007C7A40"/>
    <w:rsid w:val="007F25CB"/>
    <w:rsid w:val="00830D56"/>
    <w:rsid w:val="00830FC7"/>
    <w:rsid w:val="00857A1D"/>
    <w:rsid w:val="00864BCE"/>
    <w:rsid w:val="00865EFE"/>
    <w:rsid w:val="008E4BC4"/>
    <w:rsid w:val="008E742B"/>
    <w:rsid w:val="00975403"/>
    <w:rsid w:val="009B6115"/>
    <w:rsid w:val="009D302C"/>
    <w:rsid w:val="00A603D7"/>
    <w:rsid w:val="00A666AB"/>
    <w:rsid w:val="00A74840"/>
    <w:rsid w:val="00B6783D"/>
    <w:rsid w:val="00B96A0B"/>
    <w:rsid w:val="00BB5FCD"/>
    <w:rsid w:val="00C00DC4"/>
    <w:rsid w:val="00C33601"/>
    <w:rsid w:val="00D2088F"/>
    <w:rsid w:val="00D34C31"/>
    <w:rsid w:val="00D45A9B"/>
    <w:rsid w:val="00D94B1F"/>
    <w:rsid w:val="00D97E99"/>
    <w:rsid w:val="00E34908"/>
    <w:rsid w:val="00E56B36"/>
    <w:rsid w:val="00E67F6F"/>
    <w:rsid w:val="00F5012D"/>
    <w:rsid w:val="00F508E4"/>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97"/>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5A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45A9B"/>
    <w:pPr>
      <w:ind w:left="720"/>
      <w:contextualSpacing/>
    </w:pPr>
  </w:style>
  <w:style w:type="paragraph" w:styleId="BalloonText">
    <w:name w:val="Balloon Text"/>
    <w:basedOn w:val="Normal"/>
    <w:link w:val="BalloonTextChar"/>
    <w:uiPriority w:val="99"/>
    <w:semiHidden/>
    <w:rsid w:val="00D4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217</Words>
  <Characters>1238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2016-05-05T08:16:00Z</dcterms:created>
  <dcterms:modified xsi:type="dcterms:W3CDTF">2016-05-05T08:16:00Z</dcterms:modified>
</cp:coreProperties>
</file>