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3B" w:rsidRPr="006D7B63" w:rsidRDefault="0001543B">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01543B" w:rsidRPr="006D7B63" w:rsidRDefault="0001543B">
      <w:pPr>
        <w:rPr>
          <w:rFonts w:ascii="Times New Roman" w:hAnsi="Times New Roman"/>
          <w:b/>
          <w:sz w:val="24"/>
          <w:szCs w:val="24"/>
        </w:rPr>
      </w:pPr>
    </w:p>
    <w:p w:rsidR="0001543B" w:rsidRPr="006D7B63" w:rsidRDefault="0001543B">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01543B" w:rsidRPr="006D7B63" w:rsidRDefault="0001543B">
      <w:pPr>
        <w:rPr>
          <w:rFonts w:ascii="Times New Roman" w:hAnsi="Times New Roman"/>
          <w:b/>
          <w:sz w:val="24"/>
          <w:szCs w:val="24"/>
        </w:rPr>
      </w:pPr>
    </w:p>
    <w:p w:rsidR="0001543B" w:rsidRPr="006D7B63" w:rsidRDefault="0001543B">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841</w:t>
      </w:r>
    </w:p>
    <w:p w:rsidR="0001543B" w:rsidRPr="006D7B63" w:rsidRDefault="0001543B">
      <w:pPr>
        <w:rPr>
          <w:rFonts w:ascii="Times New Roman" w:hAnsi="Times New Roman"/>
          <w:b/>
          <w:sz w:val="24"/>
          <w:szCs w:val="24"/>
        </w:rPr>
      </w:pPr>
    </w:p>
    <w:p w:rsidR="0001543B" w:rsidRPr="006D7B63" w:rsidRDefault="0001543B">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18/03/2016</w:t>
      </w:r>
    </w:p>
    <w:p w:rsidR="0001543B" w:rsidRDefault="0001543B">
      <w:pPr>
        <w:rPr>
          <w:rFonts w:ascii="Times New Roman" w:hAnsi="Times New Roman"/>
          <w:b/>
          <w:sz w:val="24"/>
          <w:szCs w:val="24"/>
          <w:u w:val="single"/>
        </w:rPr>
      </w:pPr>
      <w:r>
        <w:rPr>
          <w:rFonts w:ascii="Times New Roman" w:hAnsi="Times New Roman"/>
          <w:b/>
          <w:sz w:val="24"/>
          <w:szCs w:val="24"/>
          <w:u w:val="single"/>
        </w:rPr>
        <w:t>INTERNAL QUESTION PAPER: 09/2016</w:t>
      </w:r>
    </w:p>
    <w:p w:rsidR="0001543B" w:rsidRPr="002B1DC5" w:rsidRDefault="0001543B" w:rsidP="002B1DC5">
      <w:pPr>
        <w:spacing w:before="100" w:beforeAutospacing="1" w:after="100" w:afterAutospacing="1" w:line="240" w:lineRule="auto"/>
        <w:ind w:left="851" w:hanging="709"/>
        <w:jc w:val="both"/>
        <w:outlineLvl w:val="0"/>
        <w:rPr>
          <w:rFonts w:ascii="Times New Roman" w:hAnsi="Times New Roman"/>
          <w:b/>
          <w:sz w:val="24"/>
          <w:szCs w:val="24"/>
          <w:lang w:val="en-GB"/>
        </w:rPr>
      </w:pPr>
      <w:r w:rsidRPr="002B1DC5">
        <w:rPr>
          <w:rFonts w:ascii="Times New Roman" w:hAnsi="Times New Roman"/>
          <w:b/>
          <w:sz w:val="24"/>
          <w:szCs w:val="24"/>
          <w:lang w:val="en-GB"/>
        </w:rPr>
        <w:t>841.</w:t>
      </w:r>
      <w:r w:rsidRPr="002B1DC5">
        <w:rPr>
          <w:rFonts w:ascii="Times New Roman" w:hAnsi="Times New Roman"/>
          <w:b/>
          <w:sz w:val="24"/>
          <w:szCs w:val="24"/>
          <w:lang w:val="en-GB"/>
        </w:rPr>
        <w:tab/>
        <w:t xml:space="preserve">Mr Y Cassim (DA) to ask </w:t>
      </w:r>
      <w:r w:rsidRPr="002B1DC5">
        <w:rPr>
          <w:rFonts w:ascii="Times New Roman" w:hAnsi="Times New Roman"/>
          <w:b/>
          <w:sz w:val="24"/>
          <w:szCs w:val="24"/>
        </w:rPr>
        <w:t>the</w:t>
      </w:r>
      <w:r w:rsidRPr="002B1DC5">
        <w:rPr>
          <w:rFonts w:ascii="Times New Roman" w:hAnsi="Times New Roman"/>
          <w:b/>
          <w:sz w:val="24"/>
          <w:szCs w:val="24"/>
          <w:lang w:val="en-GB"/>
        </w:rPr>
        <w:t xml:space="preserve"> Minister of Basic Education:</w:t>
      </w:r>
    </w:p>
    <w:p w:rsidR="0001543B" w:rsidRPr="002B1DC5" w:rsidRDefault="0001543B" w:rsidP="002B1DC5">
      <w:pPr>
        <w:spacing w:before="100" w:beforeAutospacing="1" w:after="100" w:afterAutospacing="1" w:line="240" w:lineRule="auto"/>
        <w:ind w:left="851"/>
        <w:jc w:val="both"/>
        <w:rPr>
          <w:rFonts w:ascii="Times New Roman" w:hAnsi="Times New Roman"/>
          <w:sz w:val="20"/>
          <w:szCs w:val="20"/>
          <w:lang w:val="af-ZA"/>
        </w:rPr>
      </w:pPr>
      <w:r w:rsidRPr="002B1DC5">
        <w:rPr>
          <w:rFonts w:ascii="Times New Roman" w:hAnsi="Times New Roman"/>
          <w:sz w:val="24"/>
          <w:szCs w:val="24"/>
          <w:lang w:val="af-ZA"/>
        </w:rPr>
        <w:t xml:space="preserve">(a) What is the detailed breakdown of the sources of National Education Collaboration Trust funding for (i) 2013, (ii) 2014 and (iii) 2015 and (b) in each case, what amount was paid by (i) Government and Skills Education Training Authorities, (ii) business, (iii) foundations and trusts, (iv) labour, (v) interest income and (vi) any other sources of funding? </w:t>
      </w:r>
      <w:r w:rsidRPr="002B1DC5">
        <w:rPr>
          <w:rFonts w:ascii="Times New Roman" w:hAnsi="Times New Roman"/>
          <w:sz w:val="24"/>
          <w:szCs w:val="24"/>
          <w:lang w:val="af-ZA"/>
        </w:rPr>
        <w:tab/>
      </w:r>
      <w:r w:rsidRPr="002B1DC5">
        <w:rPr>
          <w:rFonts w:ascii="Times New Roman" w:hAnsi="Times New Roman"/>
          <w:sz w:val="24"/>
          <w:szCs w:val="24"/>
          <w:lang w:val="af-ZA"/>
        </w:rPr>
        <w:tab/>
      </w:r>
      <w:r w:rsidRPr="002B1DC5">
        <w:rPr>
          <w:rFonts w:ascii="Times New Roman" w:hAnsi="Times New Roman"/>
          <w:sz w:val="24"/>
          <w:szCs w:val="24"/>
          <w:lang w:val="af-ZA"/>
        </w:rPr>
        <w:tab/>
      </w:r>
      <w:r w:rsidRPr="002B1DC5">
        <w:rPr>
          <w:rFonts w:ascii="Times New Roman" w:hAnsi="Times New Roman"/>
          <w:sz w:val="24"/>
          <w:szCs w:val="24"/>
          <w:lang w:val="af-ZA"/>
        </w:rPr>
        <w:tab/>
      </w:r>
      <w:r w:rsidRPr="002B1DC5">
        <w:rPr>
          <w:rFonts w:ascii="Times New Roman" w:hAnsi="Times New Roman"/>
          <w:sz w:val="24"/>
          <w:szCs w:val="24"/>
          <w:lang w:val="af-ZA"/>
        </w:rPr>
        <w:tab/>
      </w:r>
      <w:r w:rsidRPr="002B1DC5">
        <w:rPr>
          <w:rFonts w:ascii="Times New Roman" w:hAnsi="Times New Roman"/>
          <w:sz w:val="20"/>
          <w:szCs w:val="20"/>
          <w:lang w:val="af-ZA"/>
        </w:rPr>
        <w:t>NW960E</w:t>
      </w:r>
    </w:p>
    <w:p w:rsidR="0001543B" w:rsidRPr="006D7B63" w:rsidRDefault="0001543B">
      <w:pPr>
        <w:rPr>
          <w:rFonts w:ascii="Times New Roman" w:hAnsi="Times New Roman"/>
          <w:sz w:val="28"/>
          <w:szCs w:val="28"/>
        </w:rPr>
      </w:pPr>
    </w:p>
    <w:p w:rsidR="0001543B" w:rsidRPr="00AB601F" w:rsidRDefault="0001543B" w:rsidP="00763C3F">
      <w:pPr>
        <w:spacing w:before="100" w:beforeAutospacing="1" w:after="100" w:afterAutospacing="1"/>
        <w:jc w:val="both"/>
        <w:rPr>
          <w:rFonts w:ascii="Arial" w:hAnsi="Arial" w:cs="Arial"/>
          <w:b/>
          <w:sz w:val="24"/>
          <w:szCs w:val="24"/>
          <w:lang w:eastAsia="en-ZA"/>
        </w:rPr>
      </w:pPr>
      <w:r w:rsidRPr="00AB601F">
        <w:rPr>
          <w:rFonts w:ascii="Arial" w:hAnsi="Arial" w:cs="Arial"/>
          <w:b/>
          <w:sz w:val="24"/>
          <w:szCs w:val="24"/>
          <w:lang w:eastAsia="en-ZA"/>
        </w:rPr>
        <w:t>RESPONSE:</w:t>
      </w:r>
    </w:p>
    <w:p w:rsidR="0001543B" w:rsidRPr="00FA787C" w:rsidRDefault="0001543B" w:rsidP="00763C3F">
      <w:pPr>
        <w:pStyle w:val="ListParagraph"/>
        <w:numPr>
          <w:ilvl w:val="0"/>
          <w:numId w:val="1"/>
        </w:numPr>
        <w:rPr>
          <w:rFonts w:ascii="Arial" w:hAnsi="Arial" w:cs="Arial"/>
          <w:b/>
        </w:rPr>
      </w:pPr>
      <w:r w:rsidRPr="00FA787C">
        <w:rPr>
          <w:rFonts w:ascii="Arial" w:hAnsi="Arial" w:cs="Arial"/>
          <w:sz w:val="24"/>
          <w:szCs w:val="24"/>
          <w:lang w:val="af-ZA"/>
        </w:rPr>
        <w:t xml:space="preserve">The sources of </w:t>
      </w:r>
      <w:r>
        <w:rPr>
          <w:rFonts w:ascii="Arial" w:hAnsi="Arial" w:cs="Arial"/>
          <w:sz w:val="24"/>
          <w:szCs w:val="24"/>
          <w:lang w:val="af-ZA"/>
        </w:rPr>
        <w:t xml:space="preserve">the </w:t>
      </w:r>
      <w:r w:rsidRPr="00FA787C">
        <w:rPr>
          <w:rFonts w:ascii="Arial" w:hAnsi="Arial" w:cs="Arial"/>
          <w:sz w:val="24"/>
          <w:szCs w:val="24"/>
          <w:lang w:val="af-ZA"/>
        </w:rPr>
        <w:t xml:space="preserve">National Education Collaboration Trust </w:t>
      </w:r>
      <w:r>
        <w:rPr>
          <w:rFonts w:ascii="Arial" w:hAnsi="Arial" w:cs="Arial"/>
          <w:sz w:val="24"/>
          <w:szCs w:val="24"/>
          <w:lang w:val="af-ZA"/>
        </w:rPr>
        <w:t xml:space="preserve">(NECT) </w:t>
      </w:r>
      <w:r w:rsidRPr="00FA787C">
        <w:rPr>
          <w:rFonts w:ascii="Arial" w:hAnsi="Arial" w:cs="Arial"/>
          <w:sz w:val="24"/>
          <w:szCs w:val="24"/>
          <w:lang w:val="af-ZA"/>
        </w:rPr>
        <w:t>funding are as follows:</w:t>
      </w:r>
    </w:p>
    <w:tbl>
      <w:tblPr>
        <w:tblW w:w="75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6"/>
        <w:gridCol w:w="3650"/>
        <w:gridCol w:w="1377"/>
        <w:gridCol w:w="1493"/>
      </w:tblGrid>
      <w:tr w:rsidR="0001543B" w:rsidRPr="001B5D79" w:rsidTr="001B5D79">
        <w:trPr>
          <w:trHeight w:val="300"/>
        </w:trPr>
        <w:tc>
          <w:tcPr>
            <w:tcW w:w="1026" w:type="dxa"/>
            <w:tcBorders>
              <w:top w:val="nil"/>
              <w:left w:val="nil"/>
              <w:bottom w:val="nil"/>
              <w:right w:val="nil"/>
            </w:tcBorders>
          </w:tcPr>
          <w:p w:rsidR="0001543B" w:rsidRPr="001B5D79" w:rsidRDefault="0001543B" w:rsidP="001B5D79">
            <w:pPr>
              <w:spacing w:after="0" w:line="240" w:lineRule="auto"/>
              <w:rPr>
                <w:rFonts w:ascii="Arial" w:hAnsi="Arial" w:cs="Arial"/>
                <w:sz w:val="24"/>
                <w:szCs w:val="24"/>
                <w:lang w:val="af-ZA"/>
              </w:rPr>
            </w:pPr>
          </w:p>
        </w:tc>
        <w:tc>
          <w:tcPr>
            <w:tcW w:w="3650" w:type="dxa"/>
            <w:tcBorders>
              <w:top w:val="nil"/>
              <w:left w:val="nil"/>
              <w:bottom w:val="nil"/>
            </w:tcBorders>
            <w:noWrap/>
          </w:tcPr>
          <w:p w:rsidR="0001543B" w:rsidRPr="001B5D79" w:rsidRDefault="0001543B" w:rsidP="001B5D79">
            <w:pPr>
              <w:spacing w:after="0" w:line="240" w:lineRule="auto"/>
              <w:rPr>
                <w:rFonts w:ascii="Arial" w:hAnsi="Arial" w:cs="Arial"/>
                <w:sz w:val="24"/>
                <w:szCs w:val="24"/>
                <w:lang w:val="af-ZA"/>
              </w:rPr>
            </w:pPr>
          </w:p>
        </w:tc>
        <w:tc>
          <w:tcPr>
            <w:tcW w:w="1377" w:type="dxa"/>
            <w:noWrap/>
          </w:tcPr>
          <w:p w:rsidR="0001543B" w:rsidRPr="001B5D79" w:rsidRDefault="0001543B" w:rsidP="001B5D79">
            <w:pPr>
              <w:spacing w:after="0" w:line="240" w:lineRule="auto"/>
              <w:jc w:val="center"/>
              <w:rPr>
                <w:rFonts w:ascii="Arial" w:hAnsi="Arial" w:cs="Arial"/>
                <w:b/>
                <w:sz w:val="24"/>
                <w:szCs w:val="24"/>
                <w:lang w:val="af-ZA"/>
              </w:rPr>
            </w:pPr>
            <w:r w:rsidRPr="001B5D79">
              <w:rPr>
                <w:rFonts w:ascii="Arial" w:hAnsi="Arial" w:cs="Arial"/>
                <w:b/>
                <w:sz w:val="24"/>
                <w:szCs w:val="24"/>
                <w:lang w:val="af-ZA"/>
              </w:rPr>
              <w:t>*2013 and 2014</w:t>
            </w:r>
          </w:p>
        </w:tc>
        <w:tc>
          <w:tcPr>
            <w:tcW w:w="1493" w:type="dxa"/>
            <w:noWrap/>
          </w:tcPr>
          <w:p w:rsidR="0001543B" w:rsidRPr="001B5D79" w:rsidRDefault="0001543B" w:rsidP="001B5D79">
            <w:pPr>
              <w:spacing w:after="0" w:line="240" w:lineRule="auto"/>
              <w:jc w:val="center"/>
              <w:rPr>
                <w:rFonts w:ascii="Arial" w:hAnsi="Arial" w:cs="Arial"/>
                <w:b/>
                <w:sz w:val="24"/>
                <w:szCs w:val="24"/>
                <w:lang w:val="af-ZA"/>
              </w:rPr>
            </w:pPr>
            <w:r w:rsidRPr="001B5D79">
              <w:rPr>
                <w:rFonts w:ascii="Arial" w:hAnsi="Arial" w:cs="Arial"/>
                <w:b/>
                <w:sz w:val="24"/>
                <w:szCs w:val="24"/>
                <w:lang w:val="af-ZA"/>
              </w:rPr>
              <w:t>2015</w:t>
            </w:r>
          </w:p>
        </w:tc>
      </w:tr>
      <w:tr w:rsidR="0001543B" w:rsidRPr="001B5D79" w:rsidTr="001B5D79">
        <w:trPr>
          <w:trHeight w:val="300"/>
        </w:trPr>
        <w:tc>
          <w:tcPr>
            <w:tcW w:w="1026" w:type="dxa"/>
            <w:tcBorders>
              <w:top w:val="nil"/>
              <w:left w:val="nil"/>
              <w:bottom w:val="single" w:sz="4" w:space="0" w:color="auto"/>
              <w:right w:val="nil"/>
            </w:tcBorders>
          </w:tcPr>
          <w:p w:rsidR="0001543B" w:rsidRPr="001B5D79" w:rsidRDefault="0001543B" w:rsidP="001B5D79">
            <w:pPr>
              <w:spacing w:after="0" w:line="240" w:lineRule="auto"/>
              <w:rPr>
                <w:rFonts w:ascii="Arial" w:hAnsi="Arial" w:cs="Arial"/>
                <w:b/>
                <w:sz w:val="24"/>
                <w:szCs w:val="24"/>
                <w:lang w:val="af-ZA"/>
              </w:rPr>
            </w:pPr>
          </w:p>
        </w:tc>
        <w:tc>
          <w:tcPr>
            <w:tcW w:w="3650" w:type="dxa"/>
            <w:tcBorders>
              <w:top w:val="nil"/>
              <w:left w:val="nil"/>
              <w:bottom w:val="single" w:sz="4" w:space="0" w:color="auto"/>
            </w:tcBorders>
            <w:noWrap/>
          </w:tcPr>
          <w:p w:rsidR="0001543B" w:rsidRPr="001B5D79" w:rsidRDefault="0001543B" w:rsidP="001B5D79">
            <w:pPr>
              <w:spacing w:after="0" w:line="240" w:lineRule="auto"/>
              <w:rPr>
                <w:rFonts w:ascii="Arial" w:hAnsi="Arial" w:cs="Arial"/>
                <w:b/>
                <w:sz w:val="24"/>
                <w:szCs w:val="24"/>
                <w:lang w:val="af-ZA"/>
              </w:rPr>
            </w:pPr>
          </w:p>
        </w:tc>
        <w:tc>
          <w:tcPr>
            <w:tcW w:w="1377" w:type="dxa"/>
            <w:noWrap/>
          </w:tcPr>
          <w:p w:rsidR="0001543B" w:rsidRPr="001B5D79" w:rsidRDefault="0001543B" w:rsidP="001B5D79">
            <w:pPr>
              <w:spacing w:after="0" w:line="240" w:lineRule="auto"/>
              <w:jc w:val="center"/>
              <w:rPr>
                <w:rFonts w:ascii="Arial" w:hAnsi="Arial" w:cs="Arial"/>
                <w:b/>
                <w:sz w:val="24"/>
                <w:szCs w:val="24"/>
                <w:lang w:val="af-ZA"/>
              </w:rPr>
            </w:pPr>
            <w:r w:rsidRPr="001B5D79">
              <w:rPr>
                <w:rFonts w:ascii="Arial" w:hAnsi="Arial" w:cs="Arial"/>
                <w:b/>
                <w:sz w:val="24"/>
                <w:szCs w:val="24"/>
                <w:lang w:val="af-ZA"/>
              </w:rPr>
              <w:t>R’000</w:t>
            </w:r>
          </w:p>
        </w:tc>
        <w:tc>
          <w:tcPr>
            <w:tcW w:w="1493" w:type="dxa"/>
            <w:noWrap/>
          </w:tcPr>
          <w:p w:rsidR="0001543B" w:rsidRPr="001B5D79" w:rsidRDefault="0001543B" w:rsidP="001B5D79">
            <w:pPr>
              <w:spacing w:after="0" w:line="240" w:lineRule="auto"/>
              <w:jc w:val="center"/>
              <w:rPr>
                <w:rFonts w:ascii="Arial" w:hAnsi="Arial" w:cs="Arial"/>
                <w:b/>
                <w:sz w:val="24"/>
                <w:szCs w:val="24"/>
                <w:lang w:val="af-ZA"/>
              </w:rPr>
            </w:pPr>
            <w:r w:rsidRPr="001B5D79">
              <w:rPr>
                <w:rFonts w:ascii="Arial" w:hAnsi="Arial" w:cs="Arial"/>
                <w:b/>
                <w:sz w:val="24"/>
                <w:szCs w:val="24"/>
                <w:lang w:val="af-ZA"/>
              </w:rPr>
              <w:t>R’000</w:t>
            </w:r>
          </w:p>
        </w:tc>
      </w:tr>
      <w:tr w:rsidR="0001543B" w:rsidRPr="001B5D79" w:rsidTr="001B5D79">
        <w:trPr>
          <w:trHeight w:val="300"/>
        </w:trPr>
        <w:tc>
          <w:tcPr>
            <w:tcW w:w="1026" w:type="dxa"/>
            <w:tcBorders>
              <w:top w:val="single" w:sz="4" w:space="0" w:color="auto"/>
            </w:tcBorders>
          </w:tcPr>
          <w:p w:rsidR="0001543B" w:rsidRPr="001B5D79" w:rsidRDefault="0001543B" w:rsidP="001B5D79">
            <w:pPr>
              <w:spacing w:after="0" w:line="240" w:lineRule="auto"/>
              <w:ind w:left="33"/>
              <w:jc w:val="both"/>
              <w:rPr>
                <w:rFonts w:ascii="Arial" w:hAnsi="Arial" w:cs="Arial"/>
                <w:sz w:val="24"/>
                <w:szCs w:val="24"/>
                <w:lang w:val="af-ZA"/>
              </w:rPr>
            </w:pPr>
            <w:r w:rsidRPr="001B5D79">
              <w:rPr>
                <w:rFonts w:ascii="Arial" w:hAnsi="Arial" w:cs="Arial"/>
                <w:sz w:val="24"/>
                <w:szCs w:val="24"/>
                <w:lang w:val="af-ZA"/>
              </w:rPr>
              <w:t>(b) (i)</w:t>
            </w:r>
          </w:p>
        </w:tc>
        <w:tc>
          <w:tcPr>
            <w:tcW w:w="3650" w:type="dxa"/>
            <w:tcBorders>
              <w:top w:val="single" w:sz="4" w:space="0" w:color="auto"/>
            </w:tcBorders>
            <w:noWrap/>
          </w:tcPr>
          <w:p w:rsidR="0001543B" w:rsidRPr="001B5D79" w:rsidRDefault="0001543B" w:rsidP="001B5D79">
            <w:pPr>
              <w:spacing w:after="0" w:line="240" w:lineRule="auto"/>
              <w:rPr>
                <w:rFonts w:ascii="Arial" w:hAnsi="Arial" w:cs="Arial"/>
                <w:sz w:val="24"/>
                <w:szCs w:val="24"/>
                <w:lang w:val="af-ZA"/>
              </w:rPr>
            </w:pPr>
            <w:r w:rsidRPr="001B5D79">
              <w:rPr>
                <w:rFonts w:ascii="Arial" w:hAnsi="Arial" w:cs="Arial"/>
                <w:sz w:val="24"/>
                <w:szCs w:val="24"/>
                <w:lang w:val="af-ZA"/>
              </w:rPr>
              <w:t>Government and Skills Education Training Authorities</w:t>
            </w:r>
          </w:p>
        </w:tc>
        <w:tc>
          <w:tcPr>
            <w:tcW w:w="1377"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77 982 985</w:t>
            </w:r>
          </w:p>
        </w:tc>
        <w:tc>
          <w:tcPr>
            <w:tcW w:w="1493"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122 445 768</w:t>
            </w:r>
          </w:p>
        </w:tc>
      </w:tr>
      <w:tr w:rsidR="0001543B" w:rsidRPr="001B5D79" w:rsidTr="001B5D79">
        <w:trPr>
          <w:trHeight w:val="300"/>
        </w:trPr>
        <w:tc>
          <w:tcPr>
            <w:tcW w:w="1026" w:type="dxa"/>
          </w:tcPr>
          <w:p w:rsidR="0001543B" w:rsidRPr="001B5D79" w:rsidRDefault="0001543B" w:rsidP="001B5D79">
            <w:pPr>
              <w:spacing w:after="0" w:line="240" w:lineRule="auto"/>
              <w:rPr>
                <w:rFonts w:ascii="Arial" w:hAnsi="Arial" w:cs="Arial"/>
              </w:rPr>
            </w:pPr>
            <w:r w:rsidRPr="001B5D79">
              <w:rPr>
                <w:rFonts w:ascii="Arial" w:hAnsi="Arial" w:cs="Arial"/>
                <w:sz w:val="24"/>
                <w:szCs w:val="24"/>
                <w:lang w:val="af-ZA"/>
              </w:rPr>
              <w:t>(b) (ii)</w:t>
            </w:r>
          </w:p>
        </w:tc>
        <w:tc>
          <w:tcPr>
            <w:tcW w:w="3650" w:type="dxa"/>
            <w:noWrap/>
          </w:tcPr>
          <w:p w:rsidR="0001543B" w:rsidRPr="001B5D79" w:rsidRDefault="0001543B" w:rsidP="001B5D79">
            <w:pPr>
              <w:spacing w:after="0" w:line="240" w:lineRule="auto"/>
              <w:rPr>
                <w:rFonts w:ascii="Arial" w:hAnsi="Arial" w:cs="Arial"/>
                <w:sz w:val="24"/>
                <w:szCs w:val="24"/>
                <w:lang w:val="af-ZA"/>
              </w:rPr>
            </w:pPr>
            <w:r w:rsidRPr="001B5D79">
              <w:rPr>
                <w:rFonts w:ascii="Arial" w:hAnsi="Arial" w:cs="Arial"/>
                <w:sz w:val="24"/>
                <w:szCs w:val="24"/>
                <w:lang w:val="af-ZA"/>
              </w:rPr>
              <w:t>Business</w:t>
            </w:r>
          </w:p>
        </w:tc>
        <w:tc>
          <w:tcPr>
            <w:tcW w:w="1377"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36 249 867</w:t>
            </w:r>
          </w:p>
        </w:tc>
        <w:tc>
          <w:tcPr>
            <w:tcW w:w="1493"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56 955 037</w:t>
            </w:r>
          </w:p>
        </w:tc>
      </w:tr>
      <w:tr w:rsidR="0001543B" w:rsidRPr="001B5D79" w:rsidTr="001B5D79">
        <w:trPr>
          <w:trHeight w:val="300"/>
        </w:trPr>
        <w:tc>
          <w:tcPr>
            <w:tcW w:w="1026" w:type="dxa"/>
          </w:tcPr>
          <w:p w:rsidR="0001543B" w:rsidRPr="001B5D79" w:rsidRDefault="0001543B" w:rsidP="001B5D79">
            <w:pPr>
              <w:spacing w:after="0" w:line="240" w:lineRule="auto"/>
              <w:rPr>
                <w:rFonts w:ascii="Arial" w:hAnsi="Arial" w:cs="Arial"/>
              </w:rPr>
            </w:pPr>
            <w:r w:rsidRPr="001B5D79">
              <w:rPr>
                <w:rFonts w:ascii="Arial" w:hAnsi="Arial" w:cs="Arial"/>
                <w:sz w:val="24"/>
                <w:szCs w:val="24"/>
                <w:lang w:val="af-ZA"/>
              </w:rPr>
              <w:t>(b) (iii)</w:t>
            </w:r>
          </w:p>
        </w:tc>
        <w:tc>
          <w:tcPr>
            <w:tcW w:w="3650" w:type="dxa"/>
            <w:noWrap/>
          </w:tcPr>
          <w:p w:rsidR="0001543B" w:rsidRPr="001B5D79" w:rsidRDefault="0001543B" w:rsidP="001B5D79">
            <w:pPr>
              <w:spacing w:after="0" w:line="240" w:lineRule="auto"/>
              <w:rPr>
                <w:rFonts w:ascii="Arial" w:hAnsi="Arial" w:cs="Arial"/>
                <w:sz w:val="24"/>
                <w:szCs w:val="24"/>
                <w:lang w:val="af-ZA"/>
              </w:rPr>
            </w:pPr>
            <w:r w:rsidRPr="001B5D79">
              <w:rPr>
                <w:rFonts w:ascii="Arial" w:hAnsi="Arial" w:cs="Arial"/>
                <w:sz w:val="24"/>
                <w:szCs w:val="24"/>
                <w:lang w:val="af-ZA"/>
              </w:rPr>
              <w:t>Foundations and Trusts</w:t>
            </w:r>
          </w:p>
        </w:tc>
        <w:tc>
          <w:tcPr>
            <w:tcW w:w="1377"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2 300 000</w:t>
            </w:r>
          </w:p>
        </w:tc>
        <w:tc>
          <w:tcPr>
            <w:tcW w:w="1493"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7 409 519</w:t>
            </w:r>
          </w:p>
        </w:tc>
      </w:tr>
      <w:tr w:rsidR="0001543B" w:rsidRPr="001B5D79" w:rsidTr="001B5D79">
        <w:trPr>
          <w:trHeight w:val="345"/>
        </w:trPr>
        <w:tc>
          <w:tcPr>
            <w:tcW w:w="1026" w:type="dxa"/>
          </w:tcPr>
          <w:p w:rsidR="0001543B" w:rsidRPr="001B5D79" w:rsidRDefault="0001543B" w:rsidP="001B5D79">
            <w:pPr>
              <w:spacing w:after="0" w:line="240" w:lineRule="auto"/>
              <w:rPr>
                <w:rFonts w:ascii="Arial" w:hAnsi="Arial" w:cs="Arial"/>
              </w:rPr>
            </w:pPr>
            <w:r w:rsidRPr="001B5D79">
              <w:rPr>
                <w:rFonts w:ascii="Arial" w:hAnsi="Arial" w:cs="Arial"/>
                <w:sz w:val="24"/>
                <w:szCs w:val="24"/>
                <w:lang w:val="af-ZA"/>
              </w:rPr>
              <w:t>(b) (iv)</w:t>
            </w:r>
          </w:p>
        </w:tc>
        <w:tc>
          <w:tcPr>
            <w:tcW w:w="3650" w:type="dxa"/>
            <w:noWrap/>
          </w:tcPr>
          <w:p w:rsidR="0001543B" w:rsidRPr="001B5D79" w:rsidRDefault="0001543B" w:rsidP="001B5D79">
            <w:pPr>
              <w:spacing w:after="0" w:line="240" w:lineRule="auto"/>
              <w:rPr>
                <w:rFonts w:ascii="Arial" w:hAnsi="Arial" w:cs="Arial"/>
                <w:sz w:val="24"/>
                <w:szCs w:val="24"/>
                <w:lang w:val="af-ZA"/>
              </w:rPr>
            </w:pPr>
            <w:r w:rsidRPr="001B5D79">
              <w:rPr>
                <w:rFonts w:ascii="Arial" w:hAnsi="Arial" w:cs="Arial"/>
                <w:sz w:val="24"/>
                <w:szCs w:val="24"/>
                <w:lang w:val="af-ZA"/>
              </w:rPr>
              <w:t>Labour</w:t>
            </w:r>
          </w:p>
        </w:tc>
        <w:tc>
          <w:tcPr>
            <w:tcW w:w="1377"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293 317</w:t>
            </w:r>
          </w:p>
        </w:tc>
        <w:tc>
          <w:tcPr>
            <w:tcW w:w="1493"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w:t>
            </w:r>
          </w:p>
        </w:tc>
      </w:tr>
      <w:tr w:rsidR="0001543B" w:rsidRPr="001B5D79" w:rsidTr="001B5D79">
        <w:trPr>
          <w:trHeight w:val="345"/>
        </w:trPr>
        <w:tc>
          <w:tcPr>
            <w:tcW w:w="1026" w:type="dxa"/>
          </w:tcPr>
          <w:p w:rsidR="0001543B" w:rsidRPr="001B5D79" w:rsidRDefault="0001543B" w:rsidP="001B5D79">
            <w:pPr>
              <w:spacing w:after="0" w:line="240" w:lineRule="auto"/>
              <w:rPr>
                <w:rFonts w:ascii="Arial" w:hAnsi="Arial" w:cs="Arial"/>
              </w:rPr>
            </w:pPr>
            <w:r w:rsidRPr="001B5D79">
              <w:rPr>
                <w:rFonts w:ascii="Arial" w:hAnsi="Arial" w:cs="Arial"/>
                <w:sz w:val="24"/>
                <w:szCs w:val="24"/>
                <w:lang w:val="af-ZA"/>
              </w:rPr>
              <w:t>(b) (v)</w:t>
            </w:r>
          </w:p>
        </w:tc>
        <w:tc>
          <w:tcPr>
            <w:tcW w:w="3650" w:type="dxa"/>
            <w:noWrap/>
          </w:tcPr>
          <w:p w:rsidR="0001543B" w:rsidRPr="001B5D79" w:rsidRDefault="0001543B" w:rsidP="001B5D79">
            <w:pPr>
              <w:spacing w:after="0" w:line="240" w:lineRule="auto"/>
              <w:rPr>
                <w:rFonts w:ascii="Arial" w:hAnsi="Arial" w:cs="Arial"/>
                <w:sz w:val="24"/>
                <w:szCs w:val="24"/>
                <w:lang w:val="af-ZA"/>
              </w:rPr>
            </w:pPr>
            <w:r w:rsidRPr="001B5D79">
              <w:rPr>
                <w:rFonts w:ascii="Arial" w:hAnsi="Arial" w:cs="Arial"/>
                <w:sz w:val="24"/>
                <w:szCs w:val="24"/>
                <w:lang w:val="af-ZA"/>
              </w:rPr>
              <w:t>Interest income</w:t>
            </w:r>
          </w:p>
        </w:tc>
        <w:tc>
          <w:tcPr>
            <w:tcW w:w="1377"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w:t>
            </w:r>
          </w:p>
        </w:tc>
        <w:tc>
          <w:tcPr>
            <w:tcW w:w="1493"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w:t>
            </w:r>
          </w:p>
        </w:tc>
      </w:tr>
      <w:tr w:rsidR="0001543B" w:rsidRPr="001B5D79" w:rsidTr="001B5D79">
        <w:trPr>
          <w:trHeight w:val="345"/>
        </w:trPr>
        <w:tc>
          <w:tcPr>
            <w:tcW w:w="1026" w:type="dxa"/>
          </w:tcPr>
          <w:p w:rsidR="0001543B" w:rsidRPr="001B5D79" w:rsidRDefault="0001543B" w:rsidP="001B5D79">
            <w:pPr>
              <w:spacing w:after="0" w:line="240" w:lineRule="auto"/>
              <w:rPr>
                <w:rFonts w:ascii="Arial" w:hAnsi="Arial" w:cs="Arial"/>
              </w:rPr>
            </w:pPr>
            <w:r w:rsidRPr="001B5D79">
              <w:rPr>
                <w:rFonts w:ascii="Arial" w:hAnsi="Arial" w:cs="Arial"/>
                <w:sz w:val="24"/>
                <w:szCs w:val="24"/>
                <w:lang w:val="af-ZA"/>
              </w:rPr>
              <w:t>(b) (vi)</w:t>
            </w:r>
          </w:p>
        </w:tc>
        <w:tc>
          <w:tcPr>
            <w:tcW w:w="3650" w:type="dxa"/>
            <w:noWrap/>
          </w:tcPr>
          <w:p w:rsidR="0001543B" w:rsidRPr="001B5D79" w:rsidRDefault="0001543B" w:rsidP="001B5D79">
            <w:pPr>
              <w:spacing w:after="0" w:line="240" w:lineRule="auto"/>
              <w:rPr>
                <w:rFonts w:ascii="Arial" w:hAnsi="Arial" w:cs="Arial"/>
                <w:sz w:val="24"/>
                <w:szCs w:val="24"/>
                <w:lang w:val="af-ZA"/>
              </w:rPr>
            </w:pPr>
            <w:r w:rsidRPr="001B5D79">
              <w:rPr>
                <w:rFonts w:ascii="Arial" w:hAnsi="Arial" w:cs="Arial"/>
                <w:sz w:val="24"/>
                <w:szCs w:val="24"/>
                <w:lang w:val="af-ZA"/>
              </w:rPr>
              <w:t>Other sources of funding</w:t>
            </w:r>
          </w:p>
        </w:tc>
        <w:tc>
          <w:tcPr>
            <w:tcW w:w="1377"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w:t>
            </w:r>
          </w:p>
        </w:tc>
        <w:tc>
          <w:tcPr>
            <w:tcW w:w="1493" w:type="dxa"/>
            <w:noWrap/>
          </w:tcPr>
          <w:p w:rsidR="0001543B" w:rsidRPr="001B5D79" w:rsidRDefault="0001543B" w:rsidP="001B5D79">
            <w:pPr>
              <w:spacing w:after="0" w:line="240" w:lineRule="auto"/>
              <w:jc w:val="right"/>
              <w:rPr>
                <w:rFonts w:ascii="Arial" w:hAnsi="Arial" w:cs="Arial"/>
                <w:sz w:val="24"/>
                <w:szCs w:val="24"/>
                <w:lang w:val="af-ZA"/>
              </w:rPr>
            </w:pPr>
            <w:r w:rsidRPr="001B5D79">
              <w:rPr>
                <w:rFonts w:ascii="Arial" w:hAnsi="Arial" w:cs="Arial"/>
                <w:sz w:val="24"/>
                <w:szCs w:val="24"/>
                <w:lang w:val="af-ZA"/>
              </w:rPr>
              <w:t>-</w:t>
            </w:r>
          </w:p>
        </w:tc>
      </w:tr>
    </w:tbl>
    <w:p w:rsidR="0001543B" w:rsidRPr="00FA787C" w:rsidRDefault="0001543B" w:rsidP="00763C3F">
      <w:pPr>
        <w:pStyle w:val="ListParagraph"/>
        <w:rPr>
          <w:rFonts w:ascii="Arial" w:hAnsi="Arial" w:cs="Arial"/>
        </w:rPr>
      </w:pPr>
    </w:p>
    <w:p w:rsidR="0001543B" w:rsidRPr="00FA787C" w:rsidRDefault="0001543B" w:rsidP="00763C3F">
      <w:pPr>
        <w:pStyle w:val="ListParagraph"/>
        <w:rPr>
          <w:rFonts w:ascii="Arial" w:hAnsi="Arial" w:cs="Arial"/>
          <w:i/>
        </w:rPr>
      </w:pPr>
      <w:r w:rsidRPr="00FA787C">
        <w:rPr>
          <w:rFonts w:ascii="Arial" w:hAnsi="Arial" w:cs="Arial"/>
          <w:i/>
        </w:rPr>
        <w:t>*The NECT’s initial financial year was for 18 months (</w:t>
      </w:r>
      <w:r>
        <w:rPr>
          <w:rFonts w:ascii="Arial" w:hAnsi="Arial" w:cs="Arial"/>
          <w:i/>
        </w:rPr>
        <w:t>1 July 2013 to 31 December 2014. Due to this,</w:t>
      </w:r>
      <w:r w:rsidRPr="00FA787C">
        <w:rPr>
          <w:rFonts w:ascii="Arial" w:hAnsi="Arial" w:cs="Arial"/>
          <w:i/>
        </w:rPr>
        <w:t xml:space="preserve"> the figures for 2013 and 2014 is combined.</w:t>
      </w:r>
    </w:p>
    <w:p w:rsidR="0001543B" w:rsidRPr="00AB601F" w:rsidRDefault="0001543B" w:rsidP="00763C3F">
      <w:pPr>
        <w:spacing w:before="100" w:beforeAutospacing="1" w:after="100" w:afterAutospacing="1" w:line="240" w:lineRule="auto"/>
        <w:jc w:val="both"/>
        <w:rPr>
          <w:rFonts w:ascii="Arial" w:hAnsi="Arial" w:cs="Arial"/>
          <w:sz w:val="24"/>
          <w:szCs w:val="24"/>
        </w:rPr>
      </w:pPr>
    </w:p>
    <w:p w:rsidR="0001543B" w:rsidRPr="00AB601F" w:rsidRDefault="0001543B" w:rsidP="00763C3F">
      <w:pPr>
        <w:rPr>
          <w:rFonts w:ascii="Arial" w:hAnsi="Arial" w:cs="Arial"/>
        </w:rPr>
      </w:pPr>
    </w:p>
    <w:p w:rsidR="0001543B" w:rsidRPr="006D7B63" w:rsidRDefault="0001543B" w:rsidP="00264463">
      <w:pPr>
        <w:rPr>
          <w:rFonts w:ascii="Times New Roman" w:hAnsi="Times New Roman"/>
        </w:rPr>
      </w:pPr>
      <w:r w:rsidRPr="00AB601F">
        <w:rPr>
          <w:rFonts w:ascii="Arial" w:hAnsi="Arial" w:cs="Arial"/>
        </w:rPr>
        <w:br w:type="column"/>
      </w:r>
      <w:r w:rsidRPr="006D7B63">
        <w:rPr>
          <w:rFonts w:ascii="Times New Roman" w:hAnsi="Times New Roman"/>
        </w:rPr>
        <w:t xml:space="preserve"> </w:t>
      </w:r>
    </w:p>
    <w:p w:rsidR="0001543B" w:rsidRPr="006D7B63" w:rsidRDefault="0001543B">
      <w:pPr>
        <w:rPr>
          <w:rFonts w:ascii="Times New Roman" w:hAnsi="Times New Roman"/>
        </w:rPr>
      </w:pPr>
    </w:p>
    <w:sectPr w:rsidR="0001543B" w:rsidRPr="006D7B63" w:rsidSect="009521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A5C35"/>
    <w:multiLevelType w:val="hybridMultilevel"/>
    <w:tmpl w:val="DE62E0BE"/>
    <w:lvl w:ilvl="0" w:tplc="38D490A0">
      <w:start w:val="1"/>
      <w:numFmt w:val="lowerLetter"/>
      <w:lvlText w:val="(%1)"/>
      <w:lvlJc w:val="left"/>
      <w:pPr>
        <w:ind w:left="720" w:hanging="360"/>
      </w:pPr>
      <w:rPr>
        <w:rFonts w:eastAsia="Times New Roman" w:cs="Times New Roman" w:hint="default"/>
        <w:b w:val="0"/>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43B"/>
    <w:rsid w:val="00015890"/>
    <w:rsid w:val="000A2AAC"/>
    <w:rsid w:val="001415B1"/>
    <w:rsid w:val="0016311B"/>
    <w:rsid w:val="00170990"/>
    <w:rsid w:val="00183BCF"/>
    <w:rsid w:val="001B5D79"/>
    <w:rsid w:val="001E23F3"/>
    <w:rsid w:val="00264463"/>
    <w:rsid w:val="0027063B"/>
    <w:rsid w:val="002B1DC5"/>
    <w:rsid w:val="002C32A6"/>
    <w:rsid w:val="00343876"/>
    <w:rsid w:val="0037043F"/>
    <w:rsid w:val="003B39A7"/>
    <w:rsid w:val="00405587"/>
    <w:rsid w:val="00423086"/>
    <w:rsid w:val="004532C0"/>
    <w:rsid w:val="004A2F02"/>
    <w:rsid w:val="004F79F1"/>
    <w:rsid w:val="005676F7"/>
    <w:rsid w:val="00570560"/>
    <w:rsid w:val="005827AF"/>
    <w:rsid w:val="00615A3B"/>
    <w:rsid w:val="00692B11"/>
    <w:rsid w:val="006B3347"/>
    <w:rsid w:val="006C1F10"/>
    <w:rsid w:val="006D7B63"/>
    <w:rsid w:val="006F297B"/>
    <w:rsid w:val="00763C3F"/>
    <w:rsid w:val="007A4190"/>
    <w:rsid w:val="007C7A40"/>
    <w:rsid w:val="007F25CB"/>
    <w:rsid w:val="00830D56"/>
    <w:rsid w:val="00830FC7"/>
    <w:rsid w:val="00857A1D"/>
    <w:rsid w:val="00864BCE"/>
    <w:rsid w:val="008E742B"/>
    <w:rsid w:val="00952122"/>
    <w:rsid w:val="00975403"/>
    <w:rsid w:val="009B6115"/>
    <w:rsid w:val="009C2EEB"/>
    <w:rsid w:val="009D302C"/>
    <w:rsid w:val="00A603D7"/>
    <w:rsid w:val="00A666AB"/>
    <w:rsid w:val="00AB601F"/>
    <w:rsid w:val="00B6783D"/>
    <w:rsid w:val="00BB5FCD"/>
    <w:rsid w:val="00C00DC4"/>
    <w:rsid w:val="00C33601"/>
    <w:rsid w:val="00D34C31"/>
    <w:rsid w:val="00D94B1F"/>
    <w:rsid w:val="00D97E99"/>
    <w:rsid w:val="00E34908"/>
    <w:rsid w:val="00E67F6F"/>
    <w:rsid w:val="00F5012D"/>
    <w:rsid w:val="00F574BB"/>
    <w:rsid w:val="00FA78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22"/>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3C3F"/>
    <w:pPr>
      <w:ind w:left="720"/>
      <w:contextualSpacing/>
    </w:pPr>
  </w:style>
  <w:style w:type="table" w:styleId="TableGrid">
    <w:name w:val="Table Grid"/>
    <w:basedOn w:val="TableNormal"/>
    <w:uiPriority w:val="99"/>
    <w:rsid w:val="00763C3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169</Words>
  <Characters>968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2016-05-05T08:14:00Z</dcterms:created>
  <dcterms:modified xsi:type="dcterms:W3CDTF">2016-05-05T08:14:00Z</dcterms:modified>
</cp:coreProperties>
</file>