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36" w:rsidRDefault="00817539" w:rsidP="00FB6D36">
      <w:pPr>
        <w:pStyle w:val="BodyText"/>
        <w:jc w:val="center"/>
        <w:rPr>
          <w:rFonts w:ascii="Calibri"/>
          <w:sz w:val="18"/>
        </w:rPr>
      </w:pPr>
      <w:r>
        <w:rPr>
          <w:noProof/>
          <w:lang w:val="en-ZA" w:eastAsia="en-ZA"/>
        </w:rPr>
        <w:drawing>
          <wp:anchor distT="0" distB="0" distL="114300" distR="114300" simplePos="0" relativeHeight="251657728" behindDoc="0" locked="0" layoutInCell="1" allowOverlap="1">
            <wp:simplePos x="0" y="0"/>
            <wp:positionH relativeFrom="margin">
              <wp:posOffset>2676525</wp:posOffset>
            </wp:positionH>
            <wp:positionV relativeFrom="margin">
              <wp:posOffset>132715</wp:posOffset>
            </wp:positionV>
            <wp:extent cx="1051560" cy="1104265"/>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1560" cy="1104265"/>
                    </a:xfrm>
                    <a:prstGeom prst="rect">
                      <a:avLst/>
                    </a:prstGeom>
                    <a:noFill/>
                    <a:ln w="9525">
                      <a:noFill/>
                      <a:miter lim="800000"/>
                      <a:headEnd/>
                      <a:tailEnd/>
                    </a:ln>
                  </pic:spPr>
                </pic:pic>
              </a:graphicData>
            </a:graphic>
          </wp:anchor>
        </w:drawing>
      </w: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adjustRightInd w:val="0"/>
        <w:jc w:val="center"/>
      </w:pPr>
    </w:p>
    <w:p w:rsidR="00FB6D36" w:rsidRPr="003057F4" w:rsidRDefault="00FB6D36" w:rsidP="00FB6D36">
      <w:pPr>
        <w:jc w:val="both"/>
        <w:rPr>
          <w:rFonts w:ascii="Tahoma" w:hAnsi="Tahoma" w:cs="Tahoma"/>
        </w:rPr>
      </w:pPr>
    </w:p>
    <w:p w:rsidR="00FB6D36" w:rsidRPr="003057F4" w:rsidRDefault="00FB6D36" w:rsidP="00FB6D36">
      <w:pPr>
        <w:jc w:val="both"/>
        <w:rPr>
          <w:rFonts w:ascii="Tahoma" w:hAnsi="Tahoma" w:cs="Tahoma"/>
        </w:rPr>
      </w:pPr>
    </w:p>
    <w:p w:rsidR="00FB6D36" w:rsidRDefault="00FB6D36" w:rsidP="00FB6D36">
      <w:pPr>
        <w:jc w:val="center"/>
        <w:rPr>
          <w:rFonts w:ascii="Arial Bold" w:hAnsi="Arial Bold" w:cs="Arial"/>
          <w:b/>
          <w:color w:val="005800"/>
          <w:sz w:val="16"/>
        </w:rPr>
      </w:pP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MINISTER</w:t>
      </w: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HUMAN SETTLEMENTS, WATER AND SANITATION</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D65AD">
      <w:pPr>
        <w:tabs>
          <w:tab w:val="left" w:pos="5990"/>
        </w:tabs>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r w:rsidR="006D65AD">
        <w:rPr>
          <w:b/>
          <w:sz w:val="24"/>
          <w:szCs w:val="24"/>
        </w:rPr>
        <w:tab/>
      </w:r>
    </w:p>
    <w:p w:rsidR="00D26F9E" w:rsidRPr="0055709D" w:rsidRDefault="00D26F9E" w:rsidP="00D26F9E">
      <w:pPr>
        <w:rPr>
          <w:b/>
          <w:sz w:val="24"/>
          <w:szCs w:val="24"/>
        </w:rPr>
      </w:pPr>
    </w:p>
    <w:p w:rsidR="000B2098" w:rsidRDefault="00D26F9E" w:rsidP="00D26F9E">
      <w:pPr>
        <w:rPr>
          <w:b/>
          <w:sz w:val="24"/>
          <w:szCs w:val="24"/>
        </w:rPr>
      </w:pPr>
      <w:r w:rsidRPr="0055709D">
        <w:rPr>
          <w:b/>
          <w:sz w:val="24"/>
          <w:szCs w:val="24"/>
        </w:rPr>
        <w:t>QUESTION NO.:</w:t>
      </w:r>
      <w:r w:rsidR="00D95BCE">
        <w:rPr>
          <w:b/>
          <w:sz w:val="24"/>
          <w:szCs w:val="24"/>
        </w:rPr>
        <w:t xml:space="preserve"> </w:t>
      </w:r>
      <w:r w:rsidR="002B0286">
        <w:rPr>
          <w:b/>
          <w:sz w:val="24"/>
          <w:szCs w:val="24"/>
        </w:rPr>
        <w:t>828</w:t>
      </w:r>
    </w:p>
    <w:p w:rsidR="00C72BD9" w:rsidRPr="0055709D" w:rsidRDefault="00C72BD9" w:rsidP="000D2B2E">
      <w:pPr>
        <w:jc w:val="center"/>
        <w:rPr>
          <w:b/>
          <w:sz w:val="24"/>
          <w:szCs w:val="24"/>
        </w:rPr>
      </w:pPr>
    </w:p>
    <w:p w:rsidR="00B177C5" w:rsidRDefault="00D26F9E" w:rsidP="00B177C5">
      <w:pPr>
        <w:rPr>
          <w:b/>
          <w:sz w:val="24"/>
          <w:szCs w:val="24"/>
        </w:rPr>
      </w:pPr>
      <w:r w:rsidRPr="0055709D">
        <w:rPr>
          <w:b/>
          <w:sz w:val="24"/>
          <w:szCs w:val="24"/>
        </w:rPr>
        <w:t xml:space="preserve">DATE OF </w:t>
      </w:r>
      <w:r w:rsidR="003200B4" w:rsidRPr="0055709D">
        <w:rPr>
          <w:b/>
          <w:sz w:val="24"/>
          <w:szCs w:val="24"/>
        </w:rPr>
        <w:t xml:space="preserve">PUBLICATION: </w:t>
      </w:r>
      <w:r w:rsidR="003200B4">
        <w:rPr>
          <w:b/>
          <w:sz w:val="24"/>
          <w:szCs w:val="24"/>
        </w:rPr>
        <w:t xml:space="preserve"> 12 MARCH 2021</w:t>
      </w:r>
    </w:p>
    <w:p w:rsidR="00B177C5" w:rsidRDefault="00B177C5" w:rsidP="00B177C5">
      <w:pPr>
        <w:rPr>
          <w:b/>
          <w:sz w:val="24"/>
          <w:szCs w:val="24"/>
        </w:rPr>
      </w:pPr>
    </w:p>
    <w:p w:rsidR="002B0286" w:rsidRPr="002F7369" w:rsidRDefault="002B0286" w:rsidP="002B0286">
      <w:pPr>
        <w:spacing w:before="100" w:beforeAutospacing="1" w:after="100" w:afterAutospacing="1"/>
        <w:ind w:left="720" w:hanging="720"/>
        <w:jc w:val="both"/>
        <w:outlineLvl w:val="0"/>
        <w:rPr>
          <w:sz w:val="24"/>
          <w:szCs w:val="24"/>
        </w:rPr>
      </w:pPr>
      <w:r>
        <w:rPr>
          <w:b/>
          <w:sz w:val="24"/>
          <w:szCs w:val="24"/>
        </w:rPr>
        <w:t>Mr R A Lees</w:t>
      </w:r>
      <w:r w:rsidRPr="002F7369">
        <w:rPr>
          <w:b/>
          <w:sz w:val="24"/>
          <w:szCs w:val="24"/>
        </w:rPr>
        <w:t xml:space="preserve"> (DA) to ask the Minister of </w:t>
      </w:r>
      <w:r>
        <w:rPr>
          <w:b/>
          <w:sz w:val="24"/>
          <w:szCs w:val="24"/>
        </w:rPr>
        <w:t>Human Settlements, Water</w:t>
      </w:r>
      <w:r w:rsidRPr="002F7369">
        <w:rPr>
          <w:b/>
          <w:sz w:val="24"/>
          <w:szCs w:val="24"/>
        </w:rPr>
        <w:t xml:space="preserve"> and </w:t>
      </w:r>
      <w:r w:rsidRPr="00C91F72">
        <w:rPr>
          <w:b/>
          <w:bCs/>
          <w:sz w:val="24"/>
          <w:szCs w:val="24"/>
          <w:lang w:val="en-US"/>
        </w:rPr>
        <w:t>Sanitation</w:t>
      </w:r>
      <w:r>
        <w:rPr>
          <w:b/>
          <w:bCs/>
          <w:sz w:val="24"/>
          <w:szCs w:val="24"/>
          <w:lang w:val="en-US"/>
        </w:rPr>
        <w:fldChar w:fldCharType="begin"/>
      </w:r>
      <w:r>
        <w:instrText xml:space="preserve"> XE "</w:instrText>
      </w:r>
      <w:r w:rsidRPr="00E41DDB">
        <w:rPr>
          <w:b/>
          <w:sz w:val="24"/>
          <w:szCs w:val="24"/>
        </w:rPr>
        <w:instrText>Human Settlements, Water and Sanitation</w:instrText>
      </w:r>
      <w:r>
        <w:instrText xml:space="preserve">" </w:instrText>
      </w:r>
      <w:r>
        <w:rPr>
          <w:b/>
          <w:bCs/>
          <w:sz w:val="24"/>
          <w:szCs w:val="24"/>
          <w:lang w:val="en-US"/>
        </w:rPr>
        <w:fldChar w:fldCharType="end"/>
      </w:r>
      <w:r w:rsidRPr="002F7369">
        <w:rPr>
          <w:b/>
          <w:sz w:val="24"/>
          <w:szCs w:val="24"/>
        </w:rPr>
        <w:t>:</w:t>
      </w:r>
    </w:p>
    <w:p w:rsidR="002B0286" w:rsidRPr="00BA4668" w:rsidRDefault="002B0286" w:rsidP="002B0286">
      <w:pPr>
        <w:spacing w:before="100" w:beforeAutospacing="1" w:after="100" w:afterAutospacing="1"/>
        <w:ind w:left="720" w:hanging="720"/>
        <w:jc w:val="both"/>
        <w:outlineLvl w:val="0"/>
        <w:rPr>
          <w:sz w:val="24"/>
          <w:szCs w:val="24"/>
        </w:rPr>
      </w:pPr>
      <w:r>
        <w:rPr>
          <w:sz w:val="24"/>
          <w:szCs w:val="24"/>
        </w:rPr>
        <w:t>(1)</w:t>
      </w:r>
      <w:r>
        <w:rPr>
          <w:sz w:val="24"/>
          <w:szCs w:val="24"/>
        </w:rPr>
        <w:tab/>
      </w:r>
      <w:r w:rsidRPr="00BA4668">
        <w:rPr>
          <w:sz w:val="24"/>
          <w:szCs w:val="24"/>
        </w:rPr>
        <w:t>With reference to the provision of water for the residents of the Driefontein Complex in the Uthukela District of K</w:t>
      </w:r>
      <w:r>
        <w:rPr>
          <w:sz w:val="24"/>
          <w:szCs w:val="24"/>
        </w:rPr>
        <w:t>waZulu-</w:t>
      </w:r>
      <w:r w:rsidRPr="00BA4668">
        <w:rPr>
          <w:sz w:val="24"/>
          <w:szCs w:val="24"/>
        </w:rPr>
        <w:t>N</w:t>
      </w:r>
      <w:r>
        <w:rPr>
          <w:sz w:val="24"/>
          <w:szCs w:val="24"/>
        </w:rPr>
        <w:t>atal</w:t>
      </w:r>
      <w:r w:rsidRPr="00BA4668">
        <w:rPr>
          <w:sz w:val="24"/>
          <w:szCs w:val="24"/>
        </w:rPr>
        <w:t xml:space="preserve"> by way of the Driefontein Complex Regional Bulk Water Supply Scheme</w:t>
      </w:r>
      <w:r>
        <w:rPr>
          <w:sz w:val="24"/>
          <w:szCs w:val="24"/>
        </w:rPr>
        <w:t>, w</w:t>
      </w:r>
      <w:r w:rsidRPr="00BA4668">
        <w:rPr>
          <w:sz w:val="24"/>
          <w:szCs w:val="24"/>
        </w:rPr>
        <w:t>hat are the details of the plans for the long-term provision of bulk potable water supplies, including</w:t>
      </w:r>
      <w:r>
        <w:rPr>
          <w:sz w:val="24"/>
          <w:szCs w:val="24"/>
        </w:rPr>
        <w:t xml:space="preserve"> </w:t>
      </w:r>
      <w:r w:rsidRPr="00BA4668">
        <w:rPr>
          <w:sz w:val="24"/>
          <w:szCs w:val="24"/>
        </w:rPr>
        <w:t>(</w:t>
      </w:r>
      <w:r>
        <w:rPr>
          <w:sz w:val="24"/>
          <w:szCs w:val="24"/>
        </w:rPr>
        <w:t>a</w:t>
      </w:r>
      <w:r w:rsidRPr="00BA4668">
        <w:rPr>
          <w:sz w:val="24"/>
          <w:szCs w:val="24"/>
        </w:rPr>
        <w:t>) total costs, (</w:t>
      </w:r>
      <w:r>
        <w:rPr>
          <w:sz w:val="24"/>
          <w:szCs w:val="24"/>
        </w:rPr>
        <w:t>b</w:t>
      </w:r>
      <w:r w:rsidRPr="00BA4668">
        <w:rPr>
          <w:sz w:val="24"/>
          <w:szCs w:val="24"/>
        </w:rPr>
        <w:t>) funding allocations, (</w:t>
      </w:r>
      <w:r>
        <w:rPr>
          <w:sz w:val="24"/>
          <w:szCs w:val="24"/>
        </w:rPr>
        <w:t>c</w:t>
      </w:r>
      <w:r w:rsidRPr="00BA4668">
        <w:rPr>
          <w:sz w:val="24"/>
          <w:szCs w:val="24"/>
        </w:rPr>
        <w:t>) source of funding for the construction of a bulk raw water pipeline</w:t>
      </w:r>
      <w:r>
        <w:rPr>
          <w:sz w:val="24"/>
          <w:szCs w:val="24"/>
        </w:rPr>
        <w:t>,</w:t>
      </w:r>
      <w:r w:rsidRPr="00BA4668">
        <w:rPr>
          <w:sz w:val="24"/>
          <w:szCs w:val="24"/>
        </w:rPr>
        <w:t xml:space="preserve"> (</w:t>
      </w:r>
      <w:r>
        <w:rPr>
          <w:sz w:val="24"/>
          <w:szCs w:val="24"/>
        </w:rPr>
        <w:t>d</w:t>
      </w:r>
      <w:r w:rsidRPr="00BA4668">
        <w:rPr>
          <w:sz w:val="24"/>
          <w:szCs w:val="24"/>
        </w:rPr>
        <w:t xml:space="preserve">) </w:t>
      </w:r>
      <w:r>
        <w:rPr>
          <w:sz w:val="24"/>
          <w:szCs w:val="24"/>
        </w:rPr>
        <w:t xml:space="preserve">proposed </w:t>
      </w:r>
      <w:r w:rsidRPr="00BA4668">
        <w:rPr>
          <w:sz w:val="24"/>
          <w:szCs w:val="24"/>
        </w:rPr>
        <w:t>period of construction</w:t>
      </w:r>
      <w:r>
        <w:rPr>
          <w:sz w:val="24"/>
          <w:szCs w:val="24"/>
        </w:rPr>
        <w:t xml:space="preserve">, </w:t>
      </w:r>
      <w:r w:rsidRPr="00BA4668">
        <w:rPr>
          <w:sz w:val="24"/>
          <w:szCs w:val="24"/>
        </w:rPr>
        <w:t>(</w:t>
      </w:r>
      <w:r>
        <w:rPr>
          <w:sz w:val="24"/>
          <w:szCs w:val="24"/>
        </w:rPr>
        <w:t>e</w:t>
      </w:r>
      <w:r w:rsidRPr="00BA4668">
        <w:rPr>
          <w:sz w:val="24"/>
          <w:szCs w:val="24"/>
        </w:rPr>
        <w:t>) completion dates of a bulk raw water pipeline</w:t>
      </w:r>
      <w:r>
        <w:rPr>
          <w:sz w:val="24"/>
          <w:szCs w:val="24"/>
        </w:rPr>
        <w:t xml:space="preserve">, (f) </w:t>
      </w:r>
      <w:r w:rsidRPr="00BA4668">
        <w:rPr>
          <w:sz w:val="24"/>
          <w:szCs w:val="24"/>
        </w:rPr>
        <w:t>the source of raw water and</w:t>
      </w:r>
      <w:r>
        <w:rPr>
          <w:sz w:val="24"/>
          <w:szCs w:val="24"/>
        </w:rPr>
        <w:t xml:space="preserve"> (g) </w:t>
      </w:r>
      <w:r w:rsidRPr="00BA4668">
        <w:rPr>
          <w:sz w:val="24"/>
          <w:szCs w:val="24"/>
        </w:rPr>
        <w:t>proposals for the filtration of the bulk raw water</w:t>
      </w:r>
      <w:r>
        <w:rPr>
          <w:sz w:val="24"/>
          <w:szCs w:val="24"/>
        </w:rPr>
        <w:t>;</w:t>
      </w:r>
    </w:p>
    <w:p w:rsidR="002B0286" w:rsidRPr="00BA4668" w:rsidRDefault="002B0286" w:rsidP="002B0286">
      <w:pPr>
        <w:spacing w:before="100" w:beforeAutospacing="1" w:after="100" w:afterAutospacing="1"/>
        <w:ind w:left="720" w:hanging="720"/>
        <w:jc w:val="both"/>
        <w:outlineLvl w:val="0"/>
        <w:rPr>
          <w:sz w:val="24"/>
          <w:szCs w:val="24"/>
        </w:rPr>
      </w:pPr>
      <w:r>
        <w:rPr>
          <w:sz w:val="24"/>
          <w:szCs w:val="24"/>
        </w:rPr>
        <w:t>(2)</w:t>
      </w:r>
      <w:r>
        <w:rPr>
          <w:sz w:val="24"/>
          <w:szCs w:val="24"/>
        </w:rPr>
        <w:tab/>
        <w:t>w</w:t>
      </w:r>
      <w:r w:rsidRPr="00BA4668">
        <w:rPr>
          <w:sz w:val="24"/>
          <w:szCs w:val="24"/>
        </w:rPr>
        <w:t xml:space="preserve">hat are </w:t>
      </w:r>
      <w:r>
        <w:rPr>
          <w:sz w:val="24"/>
          <w:szCs w:val="24"/>
        </w:rPr>
        <w:t xml:space="preserve">the </w:t>
      </w:r>
      <w:r w:rsidRPr="00BA4668">
        <w:rPr>
          <w:sz w:val="24"/>
          <w:szCs w:val="24"/>
        </w:rPr>
        <w:t>details of the expenditure on water distribution infrastructure for this project from its inception up to 31 January 2021</w:t>
      </w:r>
      <w:r>
        <w:rPr>
          <w:sz w:val="24"/>
          <w:szCs w:val="24"/>
        </w:rPr>
        <w:t>;</w:t>
      </w:r>
    </w:p>
    <w:p w:rsidR="002B0286" w:rsidRPr="00BA4668" w:rsidRDefault="002B0286" w:rsidP="002B0286">
      <w:pPr>
        <w:spacing w:before="100" w:beforeAutospacing="1" w:after="100" w:afterAutospacing="1"/>
        <w:ind w:left="720" w:hanging="720"/>
        <w:jc w:val="both"/>
        <w:outlineLvl w:val="0"/>
        <w:rPr>
          <w:sz w:val="24"/>
          <w:szCs w:val="24"/>
        </w:rPr>
      </w:pPr>
      <w:r>
        <w:rPr>
          <w:sz w:val="24"/>
          <w:szCs w:val="24"/>
        </w:rPr>
        <w:t>(3)</w:t>
      </w:r>
      <w:r>
        <w:rPr>
          <w:sz w:val="24"/>
          <w:szCs w:val="24"/>
        </w:rPr>
        <w:tab/>
        <w:t>w</w:t>
      </w:r>
      <w:r w:rsidRPr="00BA4668">
        <w:rPr>
          <w:sz w:val="24"/>
          <w:szCs w:val="24"/>
        </w:rPr>
        <w:t xml:space="preserve">hat are </w:t>
      </w:r>
      <w:r>
        <w:rPr>
          <w:sz w:val="24"/>
          <w:szCs w:val="24"/>
        </w:rPr>
        <w:t xml:space="preserve">the </w:t>
      </w:r>
      <w:r w:rsidRPr="00BA4668">
        <w:rPr>
          <w:sz w:val="24"/>
          <w:szCs w:val="24"/>
        </w:rPr>
        <w:t>details of the current sources of bulk water for the water distribution infrastructure already constructed in the Driefontein Complex</w:t>
      </w:r>
      <w:r>
        <w:rPr>
          <w:sz w:val="24"/>
          <w:szCs w:val="24"/>
        </w:rPr>
        <w:t>;</w:t>
      </w:r>
    </w:p>
    <w:p w:rsidR="002B0286" w:rsidRPr="001565A7" w:rsidRDefault="002B0286" w:rsidP="002B0286">
      <w:pPr>
        <w:spacing w:before="100" w:beforeAutospacing="1" w:after="100" w:afterAutospacing="1"/>
        <w:ind w:left="720" w:hanging="720"/>
        <w:jc w:val="both"/>
        <w:outlineLvl w:val="0"/>
        <w:rPr>
          <w:sz w:val="24"/>
          <w:szCs w:val="24"/>
        </w:rPr>
      </w:pPr>
      <w:r>
        <w:rPr>
          <w:sz w:val="24"/>
          <w:szCs w:val="24"/>
        </w:rPr>
        <w:t>(4)</w:t>
      </w:r>
      <w:r>
        <w:rPr>
          <w:sz w:val="24"/>
          <w:szCs w:val="24"/>
        </w:rPr>
        <w:tab/>
        <w:t>w</w:t>
      </w:r>
      <w:r w:rsidRPr="00BA4668">
        <w:rPr>
          <w:sz w:val="24"/>
          <w:szCs w:val="24"/>
        </w:rPr>
        <w:t xml:space="preserve">hat are the Regional Bulk Infrastructure Grant allocations given to the Driefontein Water Complex Project </w:t>
      </w:r>
      <w:r>
        <w:rPr>
          <w:sz w:val="24"/>
          <w:szCs w:val="24"/>
        </w:rPr>
        <w:t>since the 2</w:t>
      </w:r>
      <w:r w:rsidRPr="00BA4668">
        <w:rPr>
          <w:sz w:val="24"/>
          <w:szCs w:val="24"/>
        </w:rPr>
        <w:t>010</w:t>
      </w:r>
      <w:r>
        <w:rPr>
          <w:sz w:val="24"/>
          <w:szCs w:val="24"/>
        </w:rPr>
        <w:t>-11 financial year?</w:t>
      </w:r>
      <w:r>
        <w:rPr>
          <w:sz w:val="24"/>
          <w:szCs w:val="24"/>
        </w:rPr>
        <w:tab/>
      </w:r>
      <w:r>
        <w:rPr>
          <w:sz w:val="24"/>
          <w:szCs w:val="24"/>
        </w:rPr>
        <w:tab/>
      </w:r>
      <w:r>
        <w:rPr>
          <w:sz w:val="24"/>
          <w:szCs w:val="24"/>
        </w:rPr>
        <w:tab/>
      </w:r>
      <w:r>
        <w:rPr>
          <w:sz w:val="24"/>
          <w:szCs w:val="24"/>
        </w:rPr>
        <w:tab/>
      </w:r>
      <w:r>
        <w:rPr>
          <w:sz w:val="24"/>
          <w:szCs w:val="24"/>
        </w:rPr>
        <w:tab/>
        <w:t xml:space="preserve">       </w:t>
      </w:r>
      <w:r w:rsidRPr="001565A7">
        <w:t>NW98</w:t>
      </w:r>
      <w:r>
        <w:t>8</w:t>
      </w:r>
      <w:r w:rsidRPr="001565A7">
        <w:t>E</w:t>
      </w:r>
    </w:p>
    <w:p w:rsidR="0075620A" w:rsidRDefault="0075620A" w:rsidP="00522363">
      <w:pPr>
        <w:spacing w:line="320" w:lineRule="atLeast"/>
        <w:ind w:left="720" w:hanging="720"/>
        <w:jc w:val="both"/>
        <w:rPr>
          <w:b/>
          <w:sz w:val="24"/>
          <w:szCs w:val="24"/>
        </w:rPr>
      </w:pPr>
    </w:p>
    <w:p w:rsidR="00CA56EF" w:rsidRDefault="00EB6AA1" w:rsidP="00522363">
      <w:pPr>
        <w:tabs>
          <w:tab w:val="left" w:pos="2300"/>
        </w:tabs>
        <w:spacing w:line="320" w:lineRule="atLeast"/>
        <w:ind w:left="720" w:hanging="720"/>
        <w:jc w:val="both"/>
        <w:rPr>
          <w:b/>
          <w:sz w:val="24"/>
          <w:szCs w:val="24"/>
        </w:rPr>
      </w:pPr>
      <w:r w:rsidRPr="00832AD2">
        <w:rPr>
          <w:b/>
          <w:sz w:val="24"/>
          <w:szCs w:val="24"/>
        </w:rPr>
        <w:t>REPLY:</w:t>
      </w:r>
    </w:p>
    <w:p w:rsidR="00F13256" w:rsidRPr="002A015D" w:rsidRDefault="00F13256" w:rsidP="00F13256">
      <w:pPr>
        <w:spacing w:line="320" w:lineRule="atLeast"/>
        <w:jc w:val="both"/>
        <w:rPr>
          <w:sz w:val="24"/>
          <w:szCs w:val="24"/>
        </w:rPr>
      </w:pPr>
      <w:r>
        <w:rPr>
          <w:sz w:val="24"/>
          <w:szCs w:val="24"/>
        </w:rPr>
        <w:t>Honourable Member, it</w:t>
      </w:r>
      <w:r w:rsidRPr="002A015D">
        <w:rPr>
          <w:sz w:val="24"/>
          <w:szCs w:val="24"/>
        </w:rPr>
        <w:t xml:space="preserve"> is important to distinguish the functions of various government departments and the different spheres of government when it comes to access to water and sanitation services. </w:t>
      </w:r>
    </w:p>
    <w:p w:rsidR="00F13256" w:rsidRPr="002A015D" w:rsidRDefault="00F13256" w:rsidP="00F13256">
      <w:pPr>
        <w:numPr>
          <w:ilvl w:val="0"/>
          <w:numId w:val="14"/>
        </w:numPr>
        <w:spacing w:line="320" w:lineRule="atLeast"/>
        <w:jc w:val="both"/>
        <w:rPr>
          <w:sz w:val="24"/>
          <w:szCs w:val="24"/>
        </w:rPr>
      </w:pPr>
      <w:r w:rsidRPr="002A015D">
        <w:rPr>
          <w:sz w:val="24"/>
          <w:szCs w:val="24"/>
        </w:rPr>
        <w:t xml:space="preserve">The Department of Water and Sanitation is the custodian of water and in terms of the National Water Act is responsible for ensuring that water as a resource is allocated equitably and used beneficially in the public interest, while promoting environmental values. </w:t>
      </w:r>
    </w:p>
    <w:p w:rsidR="00F13256" w:rsidRPr="002A015D" w:rsidRDefault="00F13256" w:rsidP="00F13256">
      <w:pPr>
        <w:numPr>
          <w:ilvl w:val="0"/>
          <w:numId w:val="14"/>
        </w:numPr>
        <w:spacing w:line="320" w:lineRule="atLeast"/>
        <w:jc w:val="both"/>
        <w:rPr>
          <w:sz w:val="24"/>
          <w:szCs w:val="24"/>
        </w:rPr>
      </w:pPr>
      <w:r w:rsidRPr="002A015D">
        <w:rPr>
          <w:sz w:val="24"/>
          <w:szCs w:val="24"/>
        </w:rPr>
        <w:t xml:space="preserve">Schedule 4B of the Constitution places the function of provision of water services to local government (municipalities). </w:t>
      </w:r>
    </w:p>
    <w:p w:rsidR="00F13256" w:rsidRPr="002A015D" w:rsidRDefault="00F13256" w:rsidP="00F13256">
      <w:pPr>
        <w:numPr>
          <w:ilvl w:val="0"/>
          <w:numId w:val="14"/>
        </w:numPr>
        <w:spacing w:line="320" w:lineRule="atLeast"/>
        <w:jc w:val="both"/>
        <w:rPr>
          <w:sz w:val="24"/>
          <w:szCs w:val="24"/>
        </w:rPr>
      </w:pPr>
      <w:r w:rsidRPr="002A015D">
        <w:rPr>
          <w:sz w:val="24"/>
          <w:szCs w:val="24"/>
        </w:rPr>
        <w:lastRenderedPageBreak/>
        <w:t xml:space="preserve">Section 154 of the Constitution places a responsibility on national and provincial government to support and regulate local government in carrying out this mandate. </w:t>
      </w:r>
    </w:p>
    <w:p w:rsidR="00F13256" w:rsidRPr="002A015D" w:rsidRDefault="00F13256" w:rsidP="00F13256">
      <w:pPr>
        <w:numPr>
          <w:ilvl w:val="0"/>
          <w:numId w:val="14"/>
        </w:numPr>
        <w:spacing w:line="320" w:lineRule="atLeast"/>
        <w:jc w:val="both"/>
        <w:rPr>
          <w:sz w:val="24"/>
          <w:szCs w:val="24"/>
        </w:rPr>
      </w:pPr>
      <w:r w:rsidRPr="002A015D">
        <w:rPr>
          <w:sz w:val="24"/>
          <w:szCs w:val="24"/>
        </w:rPr>
        <w:t>Section 3 of the Water Services Act outlines the right of access to basic water supply and sanitation which mandates that “everyone has a right of access to basic water supply and basic sanitation” and places the responsibility on Water Services Authorities to ensure that they develop a Water Services Development Plan (WSDP) to ensure the realisation of this right.</w:t>
      </w:r>
    </w:p>
    <w:p w:rsidR="00F13256" w:rsidRPr="002A015D" w:rsidRDefault="00F13256" w:rsidP="00F13256">
      <w:pPr>
        <w:numPr>
          <w:ilvl w:val="0"/>
          <w:numId w:val="14"/>
        </w:numPr>
        <w:spacing w:line="320" w:lineRule="atLeast"/>
        <w:jc w:val="both"/>
        <w:rPr>
          <w:sz w:val="24"/>
          <w:szCs w:val="24"/>
        </w:rPr>
      </w:pPr>
      <w:r w:rsidRPr="002A015D">
        <w:rPr>
          <w:sz w:val="24"/>
          <w:szCs w:val="24"/>
        </w:rPr>
        <w:t>Section 4 of the Water Services Act sets conditions for the provision of water services.</w:t>
      </w:r>
    </w:p>
    <w:p w:rsidR="00F13256" w:rsidRPr="002A015D" w:rsidRDefault="00F13256" w:rsidP="00F13256">
      <w:pPr>
        <w:numPr>
          <w:ilvl w:val="0"/>
          <w:numId w:val="14"/>
        </w:numPr>
        <w:spacing w:line="320" w:lineRule="atLeast"/>
        <w:jc w:val="both"/>
        <w:rPr>
          <w:sz w:val="24"/>
          <w:szCs w:val="24"/>
        </w:rPr>
      </w:pPr>
      <w:r w:rsidRPr="002A015D">
        <w:rPr>
          <w:sz w:val="24"/>
          <w:szCs w:val="24"/>
        </w:rPr>
        <w:t xml:space="preserve">Section 9 of the Water Services Act prescribes that the Minister may from time to time develop compulsory national norms and standards for water services which outline the exact levels of services that municipalities must provide. </w:t>
      </w:r>
    </w:p>
    <w:p w:rsidR="00F13256" w:rsidRPr="002A015D" w:rsidRDefault="00F13256" w:rsidP="00F13256">
      <w:pPr>
        <w:numPr>
          <w:ilvl w:val="0"/>
          <w:numId w:val="14"/>
        </w:numPr>
        <w:spacing w:line="320" w:lineRule="atLeast"/>
        <w:jc w:val="both"/>
        <w:rPr>
          <w:sz w:val="24"/>
          <w:szCs w:val="24"/>
        </w:rPr>
      </w:pPr>
      <w:r w:rsidRPr="002A015D">
        <w:rPr>
          <w:sz w:val="24"/>
          <w:szCs w:val="24"/>
        </w:rPr>
        <w:t>Section 10 of the Water Services Act provides norms and standards for setting tariffs for the provision of water services.</w:t>
      </w:r>
    </w:p>
    <w:p w:rsidR="00F13256" w:rsidRPr="002A015D" w:rsidRDefault="00F13256" w:rsidP="00F13256">
      <w:pPr>
        <w:numPr>
          <w:ilvl w:val="0"/>
          <w:numId w:val="14"/>
        </w:numPr>
        <w:spacing w:line="320" w:lineRule="atLeast"/>
        <w:jc w:val="both"/>
        <w:rPr>
          <w:sz w:val="24"/>
          <w:szCs w:val="24"/>
        </w:rPr>
      </w:pPr>
      <w:r w:rsidRPr="002A015D">
        <w:rPr>
          <w:sz w:val="24"/>
          <w:szCs w:val="24"/>
        </w:rPr>
        <w:t xml:space="preserve">Section 11 of the Water Services Act mandates that “every Water Services Authority has the duty to all consumers or potential consumers in its area of jurisdiction to progressively ensure efficient, affordable, economical and sustainable access to water services.” </w:t>
      </w:r>
    </w:p>
    <w:p w:rsidR="00F13256" w:rsidRPr="002A015D" w:rsidRDefault="00F13256" w:rsidP="00F13256">
      <w:pPr>
        <w:numPr>
          <w:ilvl w:val="0"/>
          <w:numId w:val="14"/>
        </w:numPr>
        <w:spacing w:line="320" w:lineRule="atLeast"/>
        <w:jc w:val="both"/>
        <w:rPr>
          <w:sz w:val="24"/>
          <w:szCs w:val="24"/>
        </w:rPr>
      </w:pPr>
      <w:r w:rsidRPr="002A015D">
        <w:rPr>
          <w:sz w:val="24"/>
          <w:szCs w:val="24"/>
        </w:rPr>
        <w:t xml:space="preserve">Section 84(1) d of the Municipal Structures Act mandates that municipalities are responsible for the provision of potable water and domestic waste water disposal systems. </w:t>
      </w:r>
    </w:p>
    <w:p w:rsidR="00F13256" w:rsidRPr="002A015D" w:rsidRDefault="00F13256" w:rsidP="00F13256">
      <w:pPr>
        <w:spacing w:line="320" w:lineRule="atLeast"/>
        <w:jc w:val="both"/>
        <w:rPr>
          <w:sz w:val="24"/>
          <w:szCs w:val="24"/>
        </w:rPr>
      </w:pPr>
    </w:p>
    <w:p w:rsidR="00224046" w:rsidRPr="00427777" w:rsidRDefault="00224046" w:rsidP="00224046">
      <w:pPr>
        <w:pStyle w:val="ListParagraph"/>
        <w:numPr>
          <w:ilvl w:val="0"/>
          <w:numId w:val="11"/>
        </w:numPr>
        <w:spacing w:line="320" w:lineRule="atLeast"/>
        <w:ind w:left="709" w:hanging="709"/>
        <w:jc w:val="both"/>
        <w:rPr>
          <w:rFonts w:eastAsia="Calibri"/>
          <w:bCs/>
          <w:color w:val="000000"/>
          <w:lang w:val="en-ZA"/>
        </w:rPr>
      </w:pPr>
      <w:r w:rsidRPr="00427777">
        <w:rPr>
          <w:rFonts w:eastAsia="Calibri"/>
          <w:bCs/>
          <w:color w:val="000000"/>
          <w:lang w:val="en-ZA"/>
        </w:rPr>
        <w:t>Phase 1 of the Driefontein Scheme was implemented by uThukela District Municipality and is now complete</w:t>
      </w:r>
      <w:r>
        <w:rPr>
          <w:rFonts w:eastAsia="Calibri"/>
          <w:bCs/>
          <w:color w:val="000000"/>
          <w:lang w:val="en-ZA"/>
        </w:rPr>
        <w:t>, while</w:t>
      </w:r>
      <w:r w:rsidRPr="00427777">
        <w:rPr>
          <w:rFonts w:eastAsia="Calibri"/>
          <w:bCs/>
          <w:color w:val="000000"/>
          <w:lang w:val="en-ZA"/>
        </w:rPr>
        <w:t>Phase 2</w:t>
      </w:r>
      <w:r>
        <w:rPr>
          <w:rFonts w:eastAsia="Calibri"/>
          <w:bCs/>
          <w:color w:val="000000"/>
          <w:lang w:val="en-ZA"/>
        </w:rPr>
        <w:t xml:space="preserve"> </w:t>
      </w:r>
      <w:r w:rsidRPr="00427777">
        <w:rPr>
          <w:rFonts w:eastAsia="Calibri"/>
          <w:bCs/>
          <w:color w:val="000000"/>
          <w:lang w:val="en-ZA"/>
        </w:rPr>
        <w:t xml:space="preserve">is in progress. Phase 3 (i.e. Spioenkop-Ladysmith Scheme) consists of both economic and social components and requires contributions from beneficiaries of the project who are able to pay for services. As </w:t>
      </w:r>
      <w:r>
        <w:rPr>
          <w:rFonts w:eastAsia="Calibri"/>
          <w:bCs/>
          <w:color w:val="000000"/>
          <w:lang w:val="en-ZA"/>
        </w:rPr>
        <w:t xml:space="preserve">the </w:t>
      </w:r>
      <w:r w:rsidRPr="00427777">
        <w:rPr>
          <w:rFonts w:eastAsia="Calibri"/>
          <w:bCs/>
          <w:color w:val="000000"/>
          <w:lang w:val="en-ZA"/>
        </w:rPr>
        <w:t>R</w:t>
      </w:r>
      <w:r>
        <w:rPr>
          <w:rFonts w:eastAsia="Calibri"/>
          <w:bCs/>
          <w:color w:val="000000"/>
          <w:lang w:val="en-ZA"/>
        </w:rPr>
        <w:t>egional Bulk Infrastructure Grant (R</w:t>
      </w:r>
      <w:r w:rsidRPr="00427777">
        <w:rPr>
          <w:rFonts w:eastAsia="Calibri"/>
          <w:bCs/>
          <w:color w:val="000000"/>
          <w:lang w:val="en-ZA"/>
        </w:rPr>
        <w:t>BIG</w:t>
      </w:r>
      <w:r>
        <w:rPr>
          <w:rFonts w:eastAsia="Calibri"/>
          <w:bCs/>
          <w:color w:val="000000"/>
          <w:lang w:val="en-ZA"/>
        </w:rPr>
        <w:t>)</w:t>
      </w:r>
      <w:r w:rsidRPr="00427777">
        <w:rPr>
          <w:rFonts w:eastAsia="Calibri"/>
          <w:bCs/>
          <w:color w:val="000000"/>
          <w:lang w:val="en-ZA"/>
        </w:rPr>
        <w:t xml:space="preserve"> does not cover costs pertaining to </w:t>
      </w:r>
      <w:r>
        <w:rPr>
          <w:rFonts w:eastAsia="Calibri"/>
          <w:bCs/>
          <w:color w:val="000000"/>
          <w:lang w:val="en-ZA"/>
        </w:rPr>
        <w:t xml:space="preserve">the </w:t>
      </w:r>
      <w:r w:rsidRPr="00427777">
        <w:rPr>
          <w:rFonts w:eastAsia="Calibri"/>
          <w:bCs/>
          <w:color w:val="000000"/>
          <w:lang w:val="en-ZA"/>
        </w:rPr>
        <w:t xml:space="preserve">economic component, the municipality had to come up with about R1 billion co-funding. </w:t>
      </w:r>
    </w:p>
    <w:p w:rsidR="00224046" w:rsidRPr="00427777" w:rsidRDefault="00224046" w:rsidP="00224046">
      <w:pPr>
        <w:spacing w:line="320" w:lineRule="atLeast"/>
        <w:ind w:left="720"/>
        <w:contextualSpacing/>
        <w:jc w:val="both"/>
        <w:rPr>
          <w:rFonts w:eastAsia="Calibri"/>
          <w:bCs/>
          <w:color w:val="000000"/>
          <w:sz w:val="24"/>
          <w:szCs w:val="24"/>
          <w:lang w:val="en-ZA"/>
        </w:rPr>
      </w:pPr>
    </w:p>
    <w:p w:rsidR="00224046" w:rsidRPr="00427777" w:rsidRDefault="00224046" w:rsidP="00224046">
      <w:pPr>
        <w:spacing w:line="320" w:lineRule="atLeast"/>
        <w:ind w:left="720"/>
        <w:contextualSpacing/>
        <w:jc w:val="both"/>
        <w:rPr>
          <w:rFonts w:eastAsia="Calibri"/>
          <w:sz w:val="24"/>
          <w:szCs w:val="24"/>
        </w:rPr>
      </w:pPr>
      <w:r w:rsidRPr="00427777">
        <w:rPr>
          <w:rFonts w:eastAsia="Calibri"/>
          <w:bCs/>
          <w:color w:val="000000"/>
          <w:sz w:val="24"/>
          <w:szCs w:val="24"/>
          <w:lang w:val="en-ZA"/>
        </w:rPr>
        <w:t xml:space="preserve">The municipality entered into negotiations with Umgeni Water </w:t>
      </w:r>
      <w:r>
        <w:rPr>
          <w:rFonts w:eastAsia="Calibri"/>
          <w:bCs/>
          <w:color w:val="000000"/>
          <w:sz w:val="24"/>
          <w:szCs w:val="24"/>
          <w:lang w:val="en-ZA"/>
        </w:rPr>
        <w:t>with the aim to secure a</w:t>
      </w:r>
      <w:r w:rsidRPr="00427777">
        <w:rPr>
          <w:rFonts w:eastAsia="Calibri"/>
          <w:bCs/>
          <w:color w:val="000000"/>
          <w:sz w:val="24"/>
          <w:szCs w:val="24"/>
          <w:lang w:val="en-ZA"/>
        </w:rPr>
        <w:t>ssist</w:t>
      </w:r>
      <w:r>
        <w:rPr>
          <w:rFonts w:eastAsia="Calibri"/>
          <w:bCs/>
          <w:color w:val="000000"/>
          <w:sz w:val="24"/>
          <w:szCs w:val="24"/>
          <w:lang w:val="en-ZA"/>
        </w:rPr>
        <w:t xml:space="preserve">ance </w:t>
      </w:r>
      <w:r w:rsidRPr="00427777">
        <w:rPr>
          <w:rFonts w:eastAsia="Calibri"/>
          <w:bCs/>
          <w:color w:val="000000"/>
          <w:sz w:val="24"/>
          <w:szCs w:val="24"/>
          <w:lang w:val="en-ZA"/>
        </w:rPr>
        <w:t xml:space="preserve">with co-funding and </w:t>
      </w:r>
      <w:r>
        <w:rPr>
          <w:rFonts w:eastAsia="Calibri"/>
          <w:bCs/>
          <w:color w:val="000000"/>
          <w:sz w:val="24"/>
          <w:szCs w:val="24"/>
          <w:lang w:val="en-ZA"/>
        </w:rPr>
        <w:t xml:space="preserve">the </w:t>
      </w:r>
      <w:r w:rsidRPr="00427777">
        <w:rPr>
          <w:rFonts w:eastAsia="Calibri"/>
          <w:bCs/>
          <w:color w:val="000000"/>
          <w:sz w:val="24"/>
          <w:szCs w:val="24"/>
          <w:lang w:val="en-ZA"/>
        </w:rPr>
        <w:t>implementation</w:t>
      </w:r>
      <w:r>
        <w:rPr>
          <w:rFonts w:eastAsia="Calibri"/>
          <w:bCs/>
          <w:color w:val="000000"/>
          <w:sz w:val="24"/>
          <w:szCs w:val="24"/>
          <w:lang w:val="en-ZA"/>
        </w:rPr>
        <w:t xml:space="preserve"> of the project</w:t>
      </w:r>
      <w:r w:rsidRPr="00427777">
        <w:rPr>
          <w:rFonts w:eastAsia="Calibri"/>
          <w:bCs/>
          <w:color w:val="000000"/>
          <w:sz w:val="24"/>
          <w:szCs w:val="24"/>
          <w:lang w:val="en-ZA"/>
        </w:rPr>
        <w:t>. After conducting due diligence, Umgeni Water decided to conduct further detailed feasibility studies on the project</w:t>
      </w:r>
      <w:r>
        <w:rPr>
          <w:rFonts w:eastAsia="Calibri"/>
          <w:bCs/>
          <w:color w:val="000000"/>
          <w:sz w:val="24"/>
          <w:szCs w:val="24"/>
          <w:lang w:val="en-ZA"/>
        </w:rPr>
        <w:t xml:space="preserve">. To this end, </w:t>
      </w:r>
      <w:r w:rsidRPr="00427777">
        <w:rPr>
          <w:rFonts w:eastAsia="Calibri"/>
          <w:sz w:val="24"/>
          <w:szCs w:val="24"/>
        </w:rPr>
        <w:t>Umgeni Water has appointed a professional service provider to undertake the pre</w:t>
      </w:r>
      <w:r>
        <w:rPr>
          <w:rFonts w:eastAsia="Calibri"/>
          <w:sz w:val="24"/>
          <w:szCs w:val="24"/>
        </w:rPr>
        <w:t>-</w:t>
      </w:r>
      <w:r w:rsidRPr="00427777">
        <w:rPr>
          <w:rFonts w:eastAsia="Calibri"/>
          <w:sz w:val="24"/>
          <w:szCs w:val="24"/>
        </w:rPr>
        <w:t>feasibility study</w:t>
      </w:r>
      <w:r>
        <w:rPr>
          <w:rFonts w:eastAsia="Calibri"/>
          <w:sz w:val="24"/>
          <w:szCs w:val="24"/>
        </w:rPr>
        <w:t>.</w:t>
      </w:r>
      <w:r w:rsidRPr="00427777">
        <w:rPr>
          <w:rFonts w:eastAsia="Calibri"/>
          <w:sz w:val="24"/>
          <w:szCs w:val="24"/>
        </w:rPr>
        <w:t xml:space="preserve"> </w:t>
      </w:r>
      <w:r>
        <w:rPr>
          <w:rFonts w:eastAsia="Calibri"/>
          <w:sz w:val="24"/>
          <w:szCs w:val="24"/>
        </w:rPr>
        <w:t>The</w:t>
      </w:r>
      <w:r w:rsidRPr="00427777">
        <w:rPr>
          <w:rFonts w:eastAsia="Calibri"/>
          <w:sz w:val="24"/>
          <w:szCs w:val="24"/>
        </w:rPr>
        <w:t xml:space="preserve"> detailed feasibility study of the uThukela DM Regional Bulk Water Supply Scheme (uTDM RBWSS)</w:t>
      </w:r>
      <w:r>
        <w:rPr>
          <w:rFonts w:eastAsia="Calibri"/>
          <w:sz w:val="24"/>
          <w:szCs w:val="24"/>
        </w:rPr>
        <w:t xml:space="preserve"> </w:t>
      </w:r>
      <w:r w:rsidRPr="00427777">
        <w:rPr>
          <w:rFonts w:eastAsia="Calibri"/>
          <w:sz w:val="24"/>
          <w:szCs w:val="24"/>
        </w:rPr>
        <w:t>will include:</w:t>
      </w:r>
    </w:p>
    <w:p w:rsidR="00224046" w:rsidRPr="00427777" w:rsidRDefault="00224046" w:rsidP="00224046">
      <w:pPr>
        <w:pStyle w:val="ListParagraph"/>
        <w:numPr>
          <w:ilvl w:val="0"/>
          <w:numId w:val="13"/>
        </w:numPr>
        <w:spacing w:line="320" w:lineRule="atLeast"/>
        <w:jc w:val="both"/>
        <w:rPr>
          <w:rFonts w:eastAsia="Calibri"/>
          <w:lang w:val="en-GB"/>
        </w:rPr>
      </w:pPr>
      <w:r w:rsidRPr="00427777">
        <w:rPr>
          <w:rFonts w:eastAsia="Calibri"/>
          <w:lang w:val="en-GB"/>
        </w:rPr>
        <w:t xml:space="preserve">Water resource modelling for the Upper uThukela Catchment, </w:t>
      </w:r>
    </w:p>
    <w:p w:rsidR="00224046" w:rsidRPr="00427777" w:rsidRDefault="00224046" w:rsidP="00224046">
      <w:pPr>
        <w:pStyle w:val="ListParagraph"/>
        <w:numPr>
          <w:ilvl w:val="0"/>
          <w:numId w:val="13"/>
        </w:numPr>
        <w:spacing w:line="320" w:lineRule="atLeast"/>
        <w:jc w:val="both"/>
        <w:rPr>
          <w:rFonts w:eastAsia="Calibri"/>
          <w:lang w:val="en-GB"/>
        </w:rPr>
      </w:pPr>
      <w:r w:rsidRPr="00427777">
        <w:rPr>
          <w:rFonts w:eastAsia="Calibri"/>
          <w:lang w:val="en-GB"/>
        </w:rPr>
        <w:t>A pre-feasibility analysis to identify options for supply</w:t>
      </w:r>
    </w:p>
    <w:p w:rsidR="00224046" w:rsidRPr="00427777" w:rsidRDefault="00224046" w:rsidP="00224046">
      <w:pPr>
        <w:pStyle w:val="ListParagraph"/>
        <w:numPr>
          <w:ilvl w:val="0"/>
          <w:numId w:val="13"/>
        </w:numPr>
        <w:spacing w:line="320" w:lineRule="atLeast"/>
        <w:jc w:val="both"/>
        <w:rPr>
          <w:rFonts w:eastAsia="Calibri"/>
          <w:lang w:val="en-GB"/>
        </w:rPr>
      </w:pPr>
      <w:r w:rsidRPr="00427777">
        <w:rPr>
          <w:rFonts w:eastAsia="Calibri"/>
          <w:lang w:val="en-GB"/>
        </w:rPr>
        <w:t>A detailed Feasibility Study of the most appropriate option for future bulk water supply to uThukela District Municipality.</w:t>
      </w:r>
    </w:p>
    <w:p w:rsidR="00224046" w:rsidRPr="00427777" w:rsidRDefault="00224046" w:rsidP="00224046">
      <w:pPr>
        <w:spacing w:line="320" w:lineRule="atLeast"/>
        <w:ind w:left="720"/>
        <w:contextualSpacing/>
        <w:jc w:val="both"/>
        <w:rPr>
          <w:rFonts w:eastAsia="Calibri"/>
          <w:sz w:val="24"/>
          <w:szCs w:val="24"/>
        </w:rPr>
      </w:pPr>
    </w:p>
    <w:p w:rsidR="00224046" w:rsidRPr="00427777" w:rsidRDefault="00224046" w:rsidP="00224046">
      <w:pPr>
        <w:spacing w:line="320" w:lineRule="atLeast"/>
        <w:ind w:left="720" w:hanging="720"/>
        <w:jc w:val="both"/>
        <w:rPr>
          <w:rFonts w:eastAsia="Calibri"/>
          <w:bCs/>
          <w:color w:val="000000"/>
          <w:sz w:val="24"/>
          <w:szCs w:val="24"/>
          <w:lang w:val="en-ZA"/>
        </w:rPr>
      </w:pPr>
      <w:r w:rsidRPr="00427777">
        <w:rPr>
          <w:rFonts w:eastAsia="Calibri"/>
          <w:sz w:val="24"/>
          <w:szCs w:val="24"/>
        </w:rPr>
        <w:t>(a)</w:t>
      </w:r>
      <w:r>
        <w:rPr>
          <w:rFonts w:eastAsia="Calibri"/>
          <w:sz w:val="24"/>
          <w:szCs w:val="24"/>
        </w:rPr>
        <w:tab/>
      </w:r>
      <w:r w:rsidRPr="00427777">
        <w:rPr>
          <w:rFonts w:eastAsia="Calibri"/>
          <w:sz w:val="24"/>
          <w:szCs w:val="24"/>
        </w:rPr>
        <w:t>The total costs for the project can only be determined once the detailed feasibility study</w:t>
      </w:r>
      <w:r>
        <w:rPr>
          <w:rFonts w:eastAsia="Calibri"/>
          <w:sz w:val="24"/>
          <w:szCs w:val="24"/>
        </w:rPr>
        <w:t xml:space="preserve"> </w:t>
      </w:r>
      <w:r w:rsidRPr="00427777">
        <w:rPr>
          <w:rFonts w:eastAsia="Calibri"/>
          <w:sz w:val="24"/>
          <w:szCs w:val="24"/>
        </w:rPr>
        <w:t>has been</w:t>
      </w:r>
      <w:r>
        <w:rPr>
          <w:rFonts w:eastAsia="Calibri"/>
          <w:sz w:val="24"/>
          <w:szCs w:val="24"/>
        </w:rPr>
        <w:t xml:space="preserve"> </w:t>
      </w:r>
      <w:r w:rsidRPr="00427777">
        <w:rPr>
          <w:rFonts w:eastAsia="Calibri"/>
          <w:sz w:val="24"/>
          <w:szCs w:val="24"/>
        </w:rPr>
        <w:t>concluded because the information required to calculate costs will be obtained</w:t>
      </w:r>
      <w:r>
        <w:rPr>
          <w:rFonts w:eastAsia="Calibri"/>
          <w:sz w:val="24"/>
          <w:szCs w:val="24"/>
        </w:rPr>
        <w:t xml:space="preserve"> </w:t>
      </w:r>
      <w:r w:rsidRPr="00427777">
        <w:rPr>
          <w:rFonts w:eastAsia="Calibri"/>
          <w:sz w:val="24"/>
          <w:szCs w:val="24"/>
        </w:rPr>
        <w:t>from the outcomes of the study.</w:t>
      </w:r>
    </w:p>
    <w:p w:rsidR="00224046" w:rsidRPr="00427777" w:rsidRDefault="00224046" w:rsidP="00224046">
      <w:pPr>
        <w:tabs>
          <w:tab w:val="left" w:pos="4030"/>
        </w:tabs>
        <w:spacing w:line="320" w:lineRule="atLeast"/>
        <w:ind w:left="1080"/>
        <w:contextualSpacing/>
        <w:rPr>
          <w:rFonts w:eastAsia="Calibri"/>
          <w:sz w:val="24"/>
          <w:szCs w:val="24"/>
        </w:rPr>
      </w:pPr>
      <w:r>
        <w:rPr>
          <w:rFonts w:eastAsia="Calibri"/>
          <w:sz w:val="24"/>
          <w:szCs w:val="24"/>
        </w:rPr>
        <w:tab/>
      </w:r>
    </w:p>
    <w:p w:rsidR="00224046" w:rsidRPr="00427777" w:rsidRDefault="00224046" w:rsidP="00224046">
      <w:pPr>
        <w:pStyle w:val="ListParagraph"/>
        <w:spacing w:after="200" w:line="320" w:lineRule="atLeast"/>
        <w:ind w:hanging="720"/>
        <w:jc w:val="both"/>
        <w:rPr>
          <w:rFonts w:eastAsia="Calibri"/>
          <w:lang w:val="en-GB"/>
        </w:rPr>
      </w:pPr>
      <w:r w:rsidRPr="00427777">
        <w:rPr>
          <w:rFonts w:eastAsia="Calibri"/>
          <w:lang w:val="en-GB"/>
        </w:rPr>
        <w:lastRenderedPageBreak/>
        <w:t>(b-c)</w:t>
      </w:r>
      <w:r>
        <w:rPr>
          <w:rFonts w:eastAsia="Calibri"/>
          <w:lang w:val="en-GB"/>
        </w:rPr>
        <w:tab/>
      </w:r>
      <w:r w:rsidRPr="00427777">
        <w:rPr>
          <w:rFonts w:eastAsia="Calibri"/>
          <w:lang w:val="en-GB"/>
        </w:rPr>
        <w:t>The funding allocations and the source of funding will be determined from information</w:t>
      </w:r>
      <w:r>
        <w:rPr>
          <w:rFonts w:eastAsia="Calibri"/>
          <w:lang w:val="en-GB"/>
        </w:rPr>
        <w:t xml:space="preserve"> </w:t>
      </w:r>
      <w:r w:rsidRPr="00427777">
        <w:rPr>
          <w:rFonts w:eastAsia="Calibri"/>
          <w:lang w:val="en-GB"/>
        </w:rPr>
        <w:t>generated during the implementation readiness study. The implementation readiness study is dependent on</w:t>
      </w:r>
      <w:r>
        <w:rPr>
          <w:rFonts w:eastAsia="Calibri"/>
          <w:lang w:val="en-GB"/>
        </w:rPr>
        <w:t xml:space="preserve"> </w:t>
      </w:r>
      <w:r w:rsidRPr="00427777">
        <w:rPr>
          <w:rFonts w:eastAsia="Calibri"/>
          <w:lang w:val="en-GB"/>
        </w:rPr>
        <w:t xml:space="preserve">conclusion of the detailed feasibility study will be determined once the total costs have been </w:t>
      </w:r>
      <w:r>
        <w:rPr>
          <w:rFonts w:eastAsia="Calibri"/>
          <w:lang w:val="en-GB"/>
        </w:rPr>
        <w:t>d</w:t>
      </w:r>
      <w:r w:rsidRPr="00427777">
        <w:rPr>
          <w:rFonts w:eastAsia="Calibri"/>
          <w:lang w:val="en-GB"/>
        </w:rPr>
        <w:t>etermined.</w:t>
      </w:r>
    </w:p>
    <w:p w:rsidR="00224046" w:rsidRPr="00427777" w:rsidRDefault="00224046" w:rsidP="00224046">
      <w:pPr>
        <w:spacing w:after="200" w:line="320" w:lineRule="atLeast"/>
        <w:ind w:left="720" w:hanging="720"/>
        <w:jc w:val="both"/>
        <w:rPr>
          <w:rFonts w:eastAsia="Calibri"/>
          <w:sz w:val="24"/>
          <w:szCs w:val="24"/>
        </w:rPr>
      </w:pPr>
      <w:r w:rsidRPr="00427777">
        <w:rPr>
          <w:rFonts w:eastAsia="Calibri"/>
          <w:sz w:val="24"/>
          <w:szCs w:val="24"/>
        </w:rPr>
        <w:t>(d-g)</w:t>
      </w:r>
      <w:r w:rsidRPr="00427777">
        <w:rPr>
          <w:rFonts w:eastAsia="Calibri"/>
          <w:sz w:val="24"/>
          <w:szCs w:val="24"/>
        </w:rPr>
        <w:tab/>
        <w:t>The information on the proposed period of construction, including completion dates of a bulk raw water pipeline and the source of raw water and proposals for the filtration of the bulk raw water can only be determined once the detailed feasibility study has been concluded.</w:t>
      </w:r>
    </w:p>
    <w:p w:rsidR="00224046" w:rsidRPr="00427777" w:rsidRDefault="00224046" w:rsidP="00224046">
      <w:pPr>
        <w:spacing w:line="320" w:lineRule="atLeast"/>
        <w:ind w:left="720" w:hanging="720"/>
        <w:jc w:val="both"/>
        <w:rPr>
          <w:rFonts w:eastAsia="Calibri"/>
          <w:sz w:val="24"/>
          <w:szCs w:val="24"/>
        </w:rPr>
      </w:pPr>
      <w:r w:rsidRPr="00427777">
        <w:rPr>
          <w:rFonts w:eastAsia="Calibri"/>
          <w:sz w:val="24"/>
          <w:szCs w:val="24"/>
        </w:rPr>
        <w:t>(2)</w:t>
      </w:r>
      <w:r w:rsidRPr="00427777">
        <w:rPr>
          <w:rFonts w:eastAsia="Calibri"/>
          <w:sz w:val="24"/>
          <w:szCs w:val="24"/>
        </w:rPr>
        <w:tab/>
        <w:t>The expenditure on water distribution infrastructure from inception up to 31 January 2021 is R102 400 021.</w:t>
      </w:r>
    </w:p>
    <w:p w:rsidR="00224046" w:rsidRPr="00427777" w:rsidRDefault="00224046" w:rsidP="00224046">
      <w:pPr>
        <w:spacing w:line="320" w:lineRule="atLeast"/>
        <w:ind w:left="720" w:hanging="720"/>
        <w:contextualSpacing/>
        <w:jc w:val="both"/>
        <w:rPr>
          <w:rFonts w:eastAsia="Calibri"/>
          <w:sz w:val="24"/>
          <w:szCs w:val="24"/>
        </w:rPr>
      </w:pPr>
    </w:p>
    <w:p w:rsidR="00224046" w:rsidRPr="00427777" w:rsidRDefault="00224046" w:rsidP="00224046">
      <w:pPr>
        <w:spacing w:line="320" w:lineRule="atLeast"/>
        <w:ind w:left="720" w:hanging="720"/>
        <w:contextualSpacing/>
        <w:jc w:val="both"/>
        <w:rPr>
          <w:rFonts w:eastAsia="Calibri"/>
          <w:b/>
          <w:sz w:val="24"/>
          <w:szCs w:val="24"/>
        </w:rPr>
      </w:pPr>
      <w:r w:rsidRPr="00427777">
        <w:rPr>
          <w:rFonts w:eastAsia="Calibri"/>
          <w:sz w:val="24"/>
          <w:szCs w:val="24"/>
        </w:rPr>
        <w:t xml:space="preserve">(3) </w:t>
      </w:r>
      <w:r w:rsidRPr="00427777">
        <w:rPr>
          <w:rFonts w:eastAsia="Calibri"/>
          <w:sz w:val="24"/>
          <w:szCs w:val="24"/>
        </w:rPr>
        <w:tab/>
        <w:t>The sources for the bulk distribution network are nine (9) production boreholes. The boreholes are being used as an interim source until long-term sustainable bulk water resource has been developed.</w:t>
      </w:r>
    </w:p>
    <w:p w:rsidR="00224046" w:rsidRPr="00427777" w:rsidRDefault="00224046" w:rsidP="00224046">
      <w:pPr>
        <w:spacing w:line="320" w:lineRule="atLeast"/>
        <w:ind w:left="720" w:hanging="720"/>
        <w:contextualSpacing/>
        <w:jc w:val="both"/>
        <w:rPr>
          <w:rFonts w:eastAsia="Calibri"/>
          <w:sz w:val="24"/>
          <w:szCs w:val="24"/>
        </w:rPr>
      </w:pPr>
      <w:r w:rsidRPr="00427777">
        <w:rPr>
          <w:rFonts w:eastAsia="Calibri"/>
          <w:sz w:val="24"/>
          <w:szCs w:val="24"/>
        </w:rPr>
        <w:tab/>
      </w:r>
    </w:p>
    <w:p w:rsidR="00224046" w:rsidRPr="00427777" w:rsidRDefault="00224046" w:rsidP="00224046">
      <w:pPr>
        <w:spacing w:line="320" w:lineRule="atLeast"/>
        <w:ind w:left="720" w:hanging="720"/>
        <w:contextualSpacing/>
        <w:jc w:val="both"/>
        <w:rPr>
          <w:rFonts w:eastAsia="Calibri"/>
          <w:color w:val="000000"/>
          <w:sz w:val="24"/>
          <w:szCs w:val="24"/>
          <w:lang w:val="en-ZA"/>
        </w:rPr>
      </w:pPr>
      <w:r w:rsidRPr="00427777">
        <w:rPr>
          <w:rFonts w:eastAsia="Calibri"/>
          <w:sz w:val="24"/>
          <w:szCs w:val="24"/>
        </w:rPr>
        <w:t xml:space="preserve">(4) </w:t>
      </w:r>
      <w:r w:rsidRPr="00427777">
        <w:rPr>
          <w:rFonts w:eastAsia="Calibri"/>
          <w:sz w:val="24"/>
          <w:szCs w:val="24"/>
        </w:rPr>
        <w:tab/>
      </w:r>
      <w:r w:rsidRPr="00427777">
        <w:rPr>
          <w:rFonts w:eastAsia="Calibri"/>
          <w:color w:val="000000"/>
          <w:sz w:val="24"/>
          <w:szCs w:val="24"/>
          <w:lang w:val="en-ZA"/>
        </w:rPr>
        <w:t>The Regional Bulk Infrastructure Grant allocations given to the Driefontein Water Complex Project since the 2010-11 financial year are as follows:</w:t>
      </w:r>
    </w:p>
    <w:p w:rsidR="00224046" w:rsidRPr="00427777" w:rsidRDefault="00224046" w:rsidP="00224046">
      <w:pPr>
        <w:contextualSpacing/>
        <w:jc w:val="both"/>
        <w:rPr>
          <w:rFonts w:eastAsia="Calibri"/>
          <w:color w:val="000000"/>
          <w:sz w:val="24"/>
          <w:szCs w:val="24"/>
          <w:lang w:val="en-ZA"/>
        </w:rPr>
      </w:pP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3827"/>
      </w:tblGrid>
      <w:tr w:rsidR="00224046" w:rsidRPr="00782262" w:rsidTr="00FC3205">
        <w:trPr>
          <w:tblHeader/>
        </w:trPr>
        <w:tc>
          <w:tcPr>
            <w:tcW w:w="5387" w:type="dxa"/>
            <w:shd w:val="clear" w:color="auto" w:fill="DBDBDB"/>
          </w:tcPr>
          <w:p w:rsidR="00224046" w:rsidRPr="00782262" w:rsidRDefault="00224046" w:rsidP="00FC3205">
            <w:pPr>
              <w:contextualSpacing/>
              <w:jc w:val="both"/>
              <w:rPr>
                <w:rFonts w:eastAsia="Calibri"/>
                <w:b/>
                <w:sz w:val="24"/>
                <w:szCs w:val="24"/>
              </w:rPr>
            </w:pPr>
            <w:r w:rsidRPr="00782262">
              <w:rPr>
                <w:rFonts w:eastAsia="Calibri"/>
                <w:b/>
                <w:sz w:val="24"/>
                <w:szCs w:val="24"/>
              </w:rPr>
              <w:t xml:space="preserve">Financial year </w:t>
            </w:r>
          </w:p>
        </w:tc>
        <w:tc>
          <w:tcPr>
            <w:tcW w:w="3827" w:type="dxa"/>
            <w:shd w:val="clear" w:color="auto" w:fill="DBDBDB"/>
          </w:tcPr>
          <w:p w:rsidR="00224046" w:rsidRPr="00782262" w:rsidRDefault="00224046" w:rsidP="00FC3205">
            <w:pPr>
              <w:contextualSpacing/>
              <w:jc w:val="both"/>
              <w:rPr>
                <w:rFonts w:eastAsia="Calibri"/>
                <w:b/>
                <w:sz w:val="24"/>
                <w:szCs w:val="24"/>
              </w:rPr>
            </w:pPr>
            <w:r w:rsidRPr="00782262">
              <w:rPr>
                <w:rFonts w:eastAsia="Calibri"/>
                <w:b/>
                <w:sz w:val="24"/>
                <w:szCs w:val="24"/>
              </w:rPr>
              <w:t>Allocations</w:t>
            </w:r>
          </w:p>
          <w:p w:rsidR="00224046" w:rsidRPr="00782262" w:rsidRDefault="00224046" w:rsidP="00FC3205">
            <w:pPr>
              <w:contextualSpacing/>
              <w:jc w:val="both"/>
              <w:rPr>
                <w:rFonts w:eastAsia="Calibri"/>
                <w:b/>
                <w:sz w:val="24"/>
                <w:szCs w:val="24"/>
              </w:rPr>
            </w:pPr>
          </w:p>
        </w:tc>
      </w:tr>
      <w:tr w:rsidR="00224046" w:rsidRPr="00782262" w:rsidTr="00FC3205">
        <w:tc>
          <w:tcPr>
            <w:tcW w:w="5387" w:type="dxa"/>
            <w:shd w:val="clear" w:color="auto" w:fill="auto"/>
            <w:vAlign w:val="bottom"/>
          </w:tcPr>
          <w:p w:rsidR="00224046" w:rsidRPr="00782262" w:rsidRDefault="00224046" w:rsidP="00FC3205">
            <w:pPr>
              <w:spacing w:after="200" w:line="276" w:lineRule="auto"/>
              <w:contextualSpacing/>
              <w:rPr>
                <w:rFonts w:eastAsia="Calibri"/>
                <w:sz w:val="24"/>
                <w:szCs w:val="24"/>
              </w:rPr>
            </w:pPr>
            <w:r w:rsidRPr="00782262">
              <w:rPr>
                <w:rFonts w:eastAsia="Calibri"/>
                <w:sz w:val="24"/>
                <w:szCs w:val="24"/>
              </w:rPr>
              <w:t>2010/11</w:t>
            </w:r>
          </w:p>
        </w:tc>
        <w:tc>
          <w:tcPr>
            <w:tcW w:w="3827" w:type="dxa"/>
            <w:shd w:val="clear" w:color="auto" w:fill="auto"/>
            <w:vAlign w:val="bottom"/>
          </w:tcPr>
          <w:p w:rsidR="00224046" w:rsidRPr="00782262" w:rsidRDefault="00224046" w:rsidP="00FC3205">
            <w:pPr>
              <w:contextualSpacing/>
              <w:rPr>
                <w:rFonts w:eastAsia="Calibri"/>
                <w:sz w:val="24"/>
                <w:szCs w:val="24"/>
              </w:rPr>
            </w:pPr>
            <w:r w:rsidRPr="00782262">
              <w:rPr>
                <w:rFonts w:eastAsia="Calibri"/>
                <w:sz w:val="24"/>
                <w:szCs w:val="24"/>
              </w:rPr>
              <w:t>R 11 470 200</w:t>
            </w:r>
          </w:p>
        </w:tc>
      </w:tr>
      <w:tr w:rsidR="00224046" w:rsidRPr="00782262" w:rsidTr="00FC3205">
        <w:tc>
          <w:tcPr>
            <w:tcW w:w="5387" w:type="dxa"/>
            <w:shd w:val="clear" w:color="auto" w:fill="auto"/>
            <w:vAlign w:val="bottom"/>
          </w:tcPr>
          <w:p w:rsidR="00224046" w:rsidRPr="00782262" w:rsidRDefault="00224046" w:rsidP="00FC3205">
            <w:pPr>
              <w:spacing w:after="200" w:line="276" w:lineRule="auto"/>
              <w:contextualSpacing/>
              <w:rPr>
                <w:rFonts w:eastAsia="Calibri"/>
                <w:sz w:val="24"/>
                <w:szCs w:val="24"/>
              </w:rPr>
            </w:pPr>
            <w:r w:rsidRPr="00782262">
              <w:rPr>
                <w:rFonts w:eastAsia="Calibri"/>
                <w:sz w:val="24"/>
                <w:szCs w:val="24"/>
              </w:rPr>
              <w:t>2011/12</w:t>
            </w:r>
          </w:p>
        </w:tc>
        <w:tc>
          <w:tcPr>
            <w:tcW w:w="3827" w:type="dxa"/>
            <w:shd w:val="clear" w:color="auto" w:fill="auto"/>
            <w:vAlign w:val="bottom"/>
          </w:tcPr>
          <w:p w:rsidR="00224046" w:rsidRPr="00782262" w:rsidRDefault="00224046" w:rsidP="00FC3205">
            <w:pPr>
              <w:contextualSpacing/>
              <w:rPr>
                <w:rFonts w:eastAsia="Calibri"/>
                <w:sz w:val="24"/>
                <w:szCs w:val="24"/>
              </w:rPr>
            </w:pPr>
            <w:r w:rsidRPr="00782262">
              <w:rPr>
                <w:rFonts w:eastAsia="Calibri"/>
                <w:sz w:val="24"/>
                <w:szCs w:val="24"/>
              </w:rPr>
              <w:t>R  22 302 100</w:t>
            </w:r>
          </w:p>
        </w:tc>
      </w:tr>
      <w:tr w:rsidR="00224046" w:rsidRPr="00782262" w:rsidTr="00FC3205">
        <w:tc>
          <w:tcPr>
            <w:tcW w:w="5387" w:type="dxa"/>
            <w:shd w:val="clear" w:color="auto" w:fill="auto"/>
            <w:vAlign w:val="bottom"/>
          </w:tcPr>
          <w:p w:rsidR="00224046" w:rsidRPr="00782262" w:rsidRDefault="00224046" w:rsidP="00FC3205">
            <w:pPr>
              <w:spacing w:after="200" w:line="276" w:lineRule="auto"/>
              <w:contextualSpacing/>
              <w:rPr>
                <w:rFonts w:eastAsia="Calibri"/>
                <w:sz w:val="24"/>
                <w:szCs w:val="24"/>
              </w:rPr>
            </w:pPr>
            <w:r w:rsidRPr="00782262">
              <w:rPr>
                <w:rFonts w:eastAsia="Calibri"/>
                <w:sz w:val="24"/>
                <w:szCs w:val="24"/>
              </w:rPr>
              <w:t>2012/13</w:t>
            </w:r>
          </w:p>
        </w:tc>
        <w:tc>
          <w:tcPr>
            <w:tcW w:w="3827" w:type="dxa"/>
            <w:shd w:val="clear" w:color="auto" w:fill="auto"/>
            <w:vAlign w:val="bottom"/>
          </w:tcPr>
          <w:p w:rsidR="00224046" w:rsidRPr="00782262" w:rsidRDefault="00224046" w:rsidP="00FC3205">
            <w:pPr>
              <w:contextualSpacing/>
              <w:rPr>
                <w:rFonts w:eastAsia="Calibri"/>
                <w:sz w:val="24"/>
                <w:szCs w:val="24"/>
              </w:rPr>
            </w:pPr>
            <w:r w:rsidRPr="00782262">
              <w:rPr>
                <w:rFonts w:eastAsia="Calibri"/>
                <w:sz w:val="24"/>
                <w:szCs w:val="24"/>
              </w:rPr>
              <w:t>R  16 308 355</w:t>
            </w:r>
          </w:p>
        </w:tc>
      </w:tr>
      <w:tr w:rsidR="00224046" w:rsidRPr="00782262" w:rsidTr="00FC3205">
        <w:tc>
          <w:tcPr>
            <w:tcW w:w="5387" w:type="dxa"/>
            <w:shd w:val="clear" w:color="auto" w:fill="auto"/>
            <w:vAlign w:val="bottom"/>
          </w:tcPr>
          <w:p w:rsidR="00224046" w:rsidRPr="00782262" w:rsidRDefault="00224046" w:rsidP="00FC3205">
            <w:pPr>
              <w:spacing w:after="200" w:line="276" w:lineRule="auto"/>
              <w:contextualSpacing/>
              <w:rPr>
                <w:rFonts w:eastAsia="Calibri"/>
                <w:sz w:val="24"/>
                <w:szCs w:val="24"/>
              </w:rPr>
            </w:pPr>
            <w:r w:rsidRPr="00782262">
              <w:rPr>
                <w:rFonts w:eastAsia="Calibri"/>
                <w:sz w:val="24"/>
                <w:szCs w:val="24"/>
              </w:rPr>
              <w:t>2013/14</w:t>
            </w:r>
          </w:p>
        </w:tc>
        <w:tc>
          <w:tcPr>
            <w:tcW w:w="3827" w:type="dxa"/>
            <w:shd w:val="clear" w:color="auto" w:fill="auto"/>
            <w:vAlign w:val="bottom"/>
          </w:tcPr>
          <w:p w:rsidR="00224046" w:rsidRPr="00782262" w:rsidRDefault="00224046" w:rsidP="00FC3205">
            <w:pPr>
              <w:contextualSpacing/>
              <w:rPr>
                <w:rFonts w:eastAsia="Calibri"/>
                <w:sz w:val="24"/>
                <w:szCs w:val="24"/>
              </w:rPr>
            </w:pPr>
            <w:r w:rsidRPr="00782262">
              <w:rPr>
                <w:rFonts w:eastAsia="Calibri"/>
                <w:sz w:val="24"/>
                <w:szCs w:val="24"/>
              </w:rPr>
              <w:t>R  56 726 749</w:t>
            </w:r>
          </w:p>
        </w:tc>
      </w:tr>
      <w:tr w:rsidR="00224046" w:rsidRPr="00782262" w:rsidTr="00FC3205">
        <w:tc>
          <w:tcPr>
            <w:tcW w:w="5387" w:type="dxa"/>
            <w:shd w:val="clear" w:color="auto" w:fill="auto"/>
            <w:vAlign w:val="bottom"/>
          </w:tcPr>
          <w:p w:rsidR="00224046" w:rsidRPr="00782262" w:rsidRDefault="00224046" w:rsidP="00FC3205">
            <w:pPr>
              <w:spacing w:after="200" w:line="276" w:lineRule="auto"/>
              <w:contextualSpacing/>
              <w:rPr>
                <w:rFonts w:eastAsia="Calibri"/>
                <w:sz w:val="24"/>
                <w:szCs w:val="24"/>
              </w:rPr>
            </w:pPr>
            <w:r w:rsidRPr="00782262">
              <w:rPr>
                <w:rFonts w:eastAsia="Calibri"/>
                <w:sz w:val="24"/>
                <w:szCs w:val="24"/>
              </w:rPr>
              <w:t>2014/15</w:t>
            </w:r>
          </w:p>
        </w:tc>
        <w:tc>
          <w:tcPr>
            <w:tcW w:w="3827" w:type="dxa"/>
            <w:shd w:val="clear" w:color="auto" w:fill="auto"/>
            <w:vAlign w:val="bottom"/>
          </w:tcPr>
          <w:p w:rsidR="00224046" w:rsidRPr="00782262" w:rsidRDefault="00224046" w:rsidP="00FC3205">
            <w:pPr>
              <w:contextualSpacing/>
              <w:rPr>
                <w:rFonts w:eastAsia="Calibri"/>
                <w:sz w:val="24"/>
                <w:szCs w:val="24"/>
              </w:rPr>
            </w:pPr>
            <w:r w:rsidRPr="00782262">
              <w:rPr>
                <w:rFonts w:eastAsia="Calibri"/>
                <w:sz w:val="24"/>
                <w:szCs w:val="24"/>
              </w:rPr>
              <w:t>R  80 977 114</w:t>
            </w:r>
          </w:p>
        </w:tc>
      </w:tr>
      <w:tr w:rsidR="00224046" w:rsidRPr="00782262" w:rsidTr="00FC3205">
        <w:tc>
          <w:tcPr>
            <w:tcW w:w="5387" w:type="dxa"/>
            <w:shd w:val="clear" w:color="auto" w:fill="auto"/>
            <w:vAlign w:val="bottom"/>
          </w:tcPr>
          <w:p w:rsidR="00224046" w:rsidRPr="00782262" w:rsidRDefault="00224046" w:rsidP="00FC3205">
            <w:pPr>
              <w:spacing w:after="200" w:line="276" w:lineRule="auto"/>
              <w:contextualSpacing/>
              <w:rPr>
                <w:rFonts w:eastAsia="Calibri"/>
                <w:sz w:val="24"/>
                <w:szCs w:val="24"/>
              </w:rPr>
            </w:pPr>
            <w:r w:rsidRPr="00782262">
              <w:rPr>
                <w:rFonts w:eastAsia="Calibri"/>
                <w:sz w:val="24"/>
                <w:szCs w:val="24"/>
              </w:rPr>
              <w:t>2015/16</w:t>
            </w:r>
            <w:r w:rsidRPr="00782262">
              <w:rPr>
                <w:rFonts w:eastAsia="Calibri"/>
                <w:sz w:val="24"/>
                <w:szCs w:val="24"/>
              </w:rPr>
              <w:tab/>
            </w:r>
          </w:p>
        </w:tc>
        <w:tc>
          <w:tcPr>
            <w:tcW w:w="3827" w:type="dxa"/>
            <w:shd w:val="clear" w:color="auto" w:fill="auto"/>
            <w:vAlign w:val="bottom"/>
          </w:tcPr>
          <w:p w:rsidR="00224046" w:rsidRPr="00782262" w:rsidRDefault="00224046" w:rsidP="00FC3205">
            <w:pPr>
              <w:contextualSpacing/>
              <w:rPr>
                <w:rFonts w:eastAsia="Calibri"/>
                <w:sz w:val="24"/>
                <w:szCs w:val="24"/>
              </w:rPr>
            </w:pPr>
            <w:r w:rsidRPr="00782262">
              <w:rPr>
                <w:rFonts w:eastAsia="Calibri"/>
                <w:sz w:val="24"/>
                <w:szCs w:val="24"/>
              </w:rPr>
              <w:t>R  20 801 030</w:t>
            </w:r>
          </w:p>
        </w:tc>
      </w:tr>
      <w:tr w:rsidR="00224046" w:rsidRPr="00782262" w:rsidTr="00FC3205">
        <w:trPr>
          <w:trHeight w:val="311"/>
        </w:trPr>
        <w:tc>
          <w:tcPr>
            <w:tcW w:w="5387" w:type="dxa"/>
            <w:shd w:val="clear" w:color="auto" w:fill="auto"/>
            <w:vAlign w:val="bottom"/>
          </w:tcPr>
          <w:p w:rsidR="00224046" w:rsidRPr="00782262" w:rsidRDefault="00224046" w:rsidP="00FC3205">
            <w:pPr>
              <w:spacing w:after="200" w:line="276" w:lineRule="auto"/>
              <w:contextualSpacing/>
              <w:rPr>
                <w:rFonts w:eastAsia="Calibri"/>
                <w:sz w:val="24"/>
                <w:szCs w:val="24"/>
              </w:rPr>
            </w:pPr>
            <w:r w:rsidRPr="00782262">
              <w:rPr>
                <w:rFonts w:eastAsia="Calibri"/>
                <w:sz w:val="24"/>
                <w:szCs w:val="24"/>
              </w:rPr>
              <w:t>2016/17</w:t>
            </w:r>
          </w:p>
        </w:tc>
        <w:tc>
          <w:tcPr>
            <w:tcW w:w="3827" w:type="dxa"/>
            <w:shd w:val="clear" w:color="auto" w:fill="auto"/>
            <w:vAlign w:val="bottom"/>
          </w:tcPr>
          <w:p w:rsidR="00224046" w:rsidRPr="00782262" w:rsidRDefault="00224046" w:rsidP="00FC3205">
            <w:pPr>
              <w:contextualSpacing/>
              <w:rPr>
                <w:rFonts w:eastAsia="Calibri"/>
                <w:sz w:val="24"/>
                <w:szCs w:val="24"/>
              </w:rPr>
            </w:pPr>
            <w:r w:rsidRPr="00782262">
              <w:rPr>
                <w:rFonts w:eastAsia="Calibri"/>
                <w:sz w:val="24"/>
                <w:szCs w:val="24"/>
              </w:rPr>
              <w:t>R  64 000 000</w:t>
            </w:r>
          </w:p>
        </w:tc>
      </w:tr>
      <w:tr w:rsidR="00224046" w:rsidRPr="00782262" w:rsidTr="00FC3205">
        <w:tc>
          <w:tcPr>
            <w:tcW w:w="5387" w:type="dxa"/>
            <w:shd w:val="clear" w:color="auto" w:fill="auto"/>
            <w:vAlign w:val="bottom"/>
          </w:tcPr>
          <w:p w:rsidR="00224046" w:rsidRPr="00782262" w:rsidRDefault="00224046" w:rsidP="00FC3205">
            <w:pPr>
              <w:spacing w:after="200" w:line="276" w:lineRule="auto"/>
              <w:contextualSpacing/>
              <w:rPr>
                <w:rFonts w:eastAsia="Calibri"/>
                <w:sz w:val="24"/>
                <w:szCs w:val="24"/>
              </w:rPr>
            </w:pPr>
            <w:r w:rsidRPr="00782262">
              <w:rPr>
                <w:rFonts w:eastAsia="Calibri"/>
                <w:sz w:val="24"/>
                <w:szCs w:val="24"/>
              </w:rPr>
              <w:t>2017/18</w:t>
            </w:r>
          </w:p>
        </w:tc>
        <w:tc>
          <w:tcPr>
            <w:tcW w:w="3827" w:type="dxa"/>
            <w:shd w:val="clear" w:color="auto" w:fill="auto"/>
            <w:vAlign w:val="bottom"/>
          </w:tcPr>
          <w:p w:rsidR="00224046" w:rsidRPr="00782262" w:rsidRDefault="00224046" w:rsidP="00FC3205">
            <w:pPr>
              <w:contextualSpacing/>
              <w:rPr>
                <w:rFonts w:eastAsia="Calibri"/>
                <w:sz w:val="24"/>
                <w:szCs w:val="24"/>
              </w:rPr>
            </w:pPr>
            <w:r w:rsidRPr="00782262">
              <w:rPr>
                <w:rFonts w:eastAsia="Calibri"/>
                <w:sz w:val="24"/>
                <w:szCs w:val="24"/>
              </w:rPr>
              <w:t>R  28 000 000</w:t>
            </w:r>
          </w:p>
        </w:tc>
      </w:tr>
      <w:tr w:rsidR="00224046" w:rsidRPr="00782262" w:rsidTr="00FC3205">
        <w:tc>
          <w:tcPr>
            <w:tcW w:w="5387" w:type="dxa"/>
            <w:shd w:val="clear" w:color="auto" w:fill="auto"/>
            <w:vAlign w:val="bottom"/>
          </w:tcPr>
          <w:p w:rsidR="00224046" w:rsidRPr="00782262" w:rsidRDefault="00224046" w:rsidP="00FC3205">
            <w:pPr>
              <w:spacing w:after="200" w:line="276" w:lineRule="auto"/>
              <w:contextualSpacing/>
              <w:rPr>
                <w:rFonts w:eastAsia="Calibri"/>
                <w:sz w:val="24"/>
                <w:szCs w:val="24"/>
              </w:rPr>
            </w:pPr>
            <w:r w:rsidRPr="00782262">
              <w:rPr>
                <w:rFonts w:eastAsia="Calibri"/>
                <w:sz w:val="24"/>
                <w:szCs w:val="24"/>
              </w:rPr>
              <w:t>2018/19</w:t>
            </w:r>
          </w:p>
        </w:tc>
        <w:tc>
          <w:tcPr>
            <w:tcW w:w="3827" w:type="dxa"/>
            <w:shd w:val="clear" w:color="auto" w:fill="auto"/>
            <w:vAlign w:val="bottom"/>
          </w:tcPr>
          <w:p w:rsidR="00224046" w:rsidRPr="00782262" w:rsidRDefault="00224046" w:rsidP="00FC3205">
            <w:pPr>
              <w:contextualSpacing/>
              <w:rPr>
                <w:rFonts w:eastAsia="Calibri"/>
                <w:sz w:val="24"/>
                <w:szCs w:val="24"/>
              </w:rPr>
            </w:pPr>
            <w:r w:rsidRPr="00782262">
              <w:rPr>
                <w:rFonts w:eastAsia="Calibri"/>
                <w:sz w:val="24"/>
                <w:szCs w:val="24"/>
              </w:rPr>
              <w:t>R  45 000 000</w:t>
            </w:r>
          </w:p>
        </w:tc>
      </w:tr>
      <w:tr w:rsidR="00224046" w:rsidRPr="00782262" w:rsidTr="00FC3205">
        <w:tc>
          <w:tcPr>
            <w:tcW w:w="5387" w:type="dxa"/>
            <w:shd w:val="clear" w:color="auto" w:fill="auto"/>
            <w:vAlign w:val="bottom"/>
          </w:tcPr>
          <w:p w:rsidR="00224046" w:rsidRPr="00782262" w:rsidRDefault="00224046" w:rsidP="00FC3205">
            <w:pPr>
              <w:spacing w:after="200" w:line="276" w:lineRule="auto"/>
              <w:contextualSpacing/>
              <w:rPr>
                <w:rFonts w:eastAsia="Calibri"/>
                <w:sz w:val="24"/>
                <w:szCs w:val="24"/>
              </w:rPr>
            </w:pPr>
            <w:r w:rsidRPr="00782262">
              <w:rPr>
                <w:rFonts w:eastAsia="Calibri"/>
                <w:sz w:val="24"/>
                <w:szCs w:val="24"/>
              </w:rPr>
              <w:t>2019/20</w:t>
            </w:r>
          </w:p>
        </w:tc>
        <w:tc>
          <w:tcPr>
            <w:tcW w:w="3827" w:type="dxa"/>
            <w:shd w:val="clear" w:color="auto" w:fill="auto"/>
            <w:vAlign w:val="bottom"/>
          </w:tcPr>
          <w:p w:rsidR="00224046" w:rsidRPr="00782262" w:rsidRDefault="00224046" w:rsidP="00FC3205">
            <w:pPr>
              <w:contextualSpacing/>
              <w:rPr>
                <w:rFonts w:eastAsia="Calibri"/>
                <w:sz w:val="24"/>
                <w:szCs w:val="24"/>
              </w:rPr>
            </w:pPr>
            <w:r w:rsidRPr="00782262">
              <w:rPr>
                <w:rFonts w:eastAsia="Calibri"/>
                <w:sz w:val="24"/>
                <w:szCs w:val="24"/>
              </w:rPr>
              <w:t>R  10 000 000</w:t>
            </w:r>
          </w:p>
        </w:tc>
      </w:tr>
      <w:tr w:rsidR="00224046" w:rsidRPr="00782262" w:rsidTr="00FC3205">
        <w:tc>
          <w:tcPr>
            <w:tcW w:w="5387" w:type="dxa"/>
            <w:shd w:val="clear" w:color="auto" w:fill="auto"/>
            <w:vAlign w:val="bottom"/>
          </w:tcPr>
          <w:p w:rsidR="00224046" w:rsidRPr="00782262" w:rsidRDefault="00224046" w:rsidP="00FC3205">
            <w:pPr>
              <w:spacing w:after="200" w:line="276" w:lineRule="auto"/>
              <w:contextualSpacing/>
              <w:rPr>
                <w:rFonts w:eastAsia="Calibri"/>
                <w:sz w:val="24"/>
                <w:szCs w:val="24"/>
              </w:rPr>
            </w:pPr>
            <w:r w:rsidRPr="00782262">
              <w:rPr>
                <w:rFonts w:eastAsia="Calibri"/>
                <w:sz w:val="24"/>
                <w:szCs w:val="24"/>
              </w:rPr>
              <w:t>2020/21</w:t>
            </w:r>
          </w:p>
        </w:tc>
        <w:tc>
          <w:tcPr>
            <w:tcW w:w="3827" w:type="dxa"/>
            <w:shd w:val="clear" w:color="auto" w:fill="auto"/>
            <w:vAlign w:val="bottom"/>
          </w:tcPr>
          <w:p w:rsidR="00224046" w:rsidRPr="00782262" w:rsidRDefault="00224046" w:rsidP="00FC3205">
            <w:pPr>
              <w:contextualSpacing/>
              <w:rPr>
                <w:rFonts w:eastAsia="Calibri"/>
                <w:sz w:val="24"/>
                <w:szCs w:val="24"/>
              </w:rPr>
            </w:pPr>
            <w:r w:rsidRPr="00782262">
              <w:rPr>
                <w:rFonts w:eastAsia="Calibri"/>
                <w:sz w:val="24"/>
                <w:szCs w:val="24"/>
              </w:rPr>
              <w:t>R  39 399 000</w:t>
            </w:r>
          </w:p>
        </w:tc>
      </w:tr>
      <w:tr w:rsidR="00224046" w:rsidRPr="00782262" w:rsidTr="00FC3205">
        <w:tc>
          <w:tcPr>
            <w:tcW w:w="5387" w:type="dxa"/>
            <w:shd w:val="clear" w:color="auto" w:fill="auto"/>
            <w:vAlign w:val="bottom"/>
          </w:tcPr>
          <w:p w:rsidR="00224046" w:rsidRPr="00782262" w:rsidRDefault="00224046" w:rsidP="00FC3205">
            <w:pPr>
              <w:contextualSpacing/>
              <w:rPr>
                <w:rFonts w:eastAsia="Calibri"/>
                <w:b/>
                <w:sz w:val="24"/>
                <w:szCs w:val="24"/>
              </w:rPr>
            </w:pPr>
          </w:p>
          <w:p w:rsidR="00224046" w:rsidRPr="00782262" w:rsidRDefault="00224046" w:rsidP="00FC3205">
            <w:pPr>
              <w:contextualSpacing/>
              <w:rPr>
                <w:rFonts w:eastAsia="Calibri"/>
                <w:b/>
                <w:sz w:val="24"/>
                <w:szCs w:val="24"/>
              </w:rPr>
            </w:pPr>
            <w:r w:rsidRPr="00782262">
              <w:rPr>
                <w:rFonts w:eastAsia="Calibri"/>
                <w:b/>
                <w:sz w:val="24"/>
                <w:szCs w:val="24"/>
              </w:rPr>
              <w:t>Total</w:t>
            </w:r>
          </w:p>
        </w:tc>
        <w:tc>
          <w:tcPr>
            <w:tcW w:w="3827" w:type="dxa"/>
            <w:shd w:val="clear" w:color="auto" w:fill="auto"/>
            <w:vAlign w:val="bottom"/>
          </w:tcPr>
          <w:p w:rsidR="00224046" w:rsidRPr="00782262" w:rsidRDefault="00224046" w:rsidP="00FC3205">
            <w:pPr>
              <w:contextualSpacing/>
              <w:rPr>
                <w:rFonts w:eastAsia="Calibri"/>
                <w:b/>
                <w:sz w:val="24"/>
                <w:szCs w:val="24"/>
              </w:rPr>
            </w:pPr>
            <w:r w:rsidRPr="00782262">
              <w:rPr>
                <w:rFonts w:eastAsia="Calibri"/>
                <w:b/>
                <w:sz w:val="24"/>
                <w:szCs w:val="24"/>
              </w:rPr>
              <w:t>R394 984 548</w:t>
            </w:r>
          </w:p>
        </w:tc>
      </w:tr>
    </w:tbl>
    <w:p w:rsidR="00224046" w:rsidRPr="00427777" w:rsidRDefault="00224046" w:rsidP="00224046">
      <w:pPr>
        <w:ind w:left="720" w:hanging="720"/>
        <w:contextualSpacing/>
        <w:jc w:val="both"/>
        <w:rPr>
          <w:rFonts w:eastAsia="Calibri"/>
          <w:sz w:val="24"/>
          <w:szCs w:val="24"/>
        </w:rPr>
      </w:pPr>
    </w:p>
    <w:p w:rsidR="00224046" w:rsidRPr="00427777" w:rsidRDefault="00224046" w:rsidP="00224046">
      <w:pPr>
        <w:spacing w:before="120"/>
        <w:rPr>
          <w:sz w:val="24"/>
          <w:szCs w:val="24"/>
        </w:rPr>
      </w:pPr>
    </w:p>
    <w:p w:rsidR="00224046" w:rsidRPr="00427777" w:rsidRDefault="00224046" w:rsidP="00224046">
      <w:pPr>
        <w:tabs>
          <w:tab w:val="left" w:pos="2300"/>
        </w:tabs>
        <w:spacing w:line="320" w:lineRule="atLeast"/>
        <w:ind w:left="720" w:hanging="720"/>
        <w:jc w:val="both"/>
        <w:rPr>
          <w:b/>
          <w:sz w:val="24"/>
          <w:szCs w:val="24"/>
        </w:rPr>
      </w:pPr>
    </w:p>
    <w:p w:rsidR="00224046" w:rsidRPr="00427777" w:rsidRDefault="00224046" w:rsidP="00224046">
      <w:pPr>
        <w:tabs>
          <w:tab w:val="left" w:pos="2300"/>
        </w:tabs>
        <w:spacing w:line="320" w:lineRule="atLeast"/>
        <w:ind w:left="720" w:hanging="720"/>
        <w:jc w:val="both"/>
        <w:rPr>
          <w:b/>
          <w:sz w:val="24"/>
          <w:szCs w:val="24"/>
        </w:rPr>
      </w:pPr>
    </w:p>
    <w:p w:rsidR="00FD0B46" w:rsidRPr="00427777" w:rsidRDefault="00FD0B46" w:rsidP="00224046">
      <w:pPr>
        <w:tabs>
          <w:tab w:val="left" w:pos="2300"/>
        </w:tabs>
        <w:spacing w:line="320" w:lineRule="atLeast"/>
        <w:ind w:left="720" w:hanging="720"/>
        <w:jc w:val="both"/>
        <w:rPr>
          <w:b/>
          <w:sz w:val="24"/>
          <w:szCs w:val="24"/>
        </w:rPr>
      </w:pPr>
    </w:p>
    <w:sectPr w:rsidR="00FD0B46" w:rsidRPr="00427777"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851" w:rsidRDefault="00BE7851" w:rsidP="00054FEC">
      <w:r>
        <w:separator/>
      </w:r>
    </w:p>
  </w:endnote>
  <w:endnote w:type="continuationSeparator" w:id="0">
    <w:p w:rsidR="00BE7851" w:rsidRDefault="00BE7851"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851" w:rsidRDefault="00BE7851" w:rsidP="00054FEC">
      <w:r>
        <w:separator/>
      </w:r>
    </w:p>
  </w:footnote>
  <w:footnote w:type="continuationSeparator" w:id="0">
    <w:p w:rsidR="00BE7851" w:rsidRDefault="00BE7851"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91152A">
      <w:t xml:space="preserve"> </w:t>
    </w:r>
    <w:r w:rsidR="002B0286">
      <w:t>828</w:t>
    </w:r>
    <w:r w:rsidR="00725EAD">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4E22C4"/>
    <w:multiLevelType w:val="hybridMultilevel"/>
    <w:tmpl w:val="E35285B2"/>
    <w:lvl w:ilvl="0" w:tplc="8724E12E">
      <w:start w:val="1"/>
      <w:numFmt w:val="lowerRoman"/>
      <w:lvlText w:val="(%1)"/>
      <w:lvlJc w:val="left"/>
      <w:pPr>
        <w:ind w:left="873" w:hanging="720"/>
      </w:pPr>
      <w:rPr>
        <w:rFonts w:ascii="Times New Roman" w:eastAsia="Times New Roman" w:hAnsi="Times New Roman" w:cs="Times New Roman"/>
      </w:rPr>
    </w:lvl>
    <w:lvl w:ilvl="1" w:tplc="1C090019">
      <w:start w:val="1"/>
      <w:numFmt w:val="lowerLetter"/>
      <w:lvlText w:val="%2."/>
      <w:lvlJc w:val="left"/>
      <w:pPr>
        <w:ind w:left="1233" w:hanging="360"/>
      </w:pPr>
    </w:lvl>
    <w:lvl w:ilvl="2" w:tplc="1C09001B">
      <w:start w:val="1"/>
      <w:numFmt w:val="lowerRoman"/>
      <w:lvlText w:val="%3."/>
      <w:lvlJc w:val="right"/>
      <w:pPr>
        <w:ind w:left="1953" w:hanging="180"/>
      </w:pPr>
    </w:lvl>
    <w:lvl w:ilvl="3" w:tplc="1C09000F" w:tentative="1">
      <w:start w:val="1"/>
      <w:numFmt w:val="decimal"/>
      <w:lvlText w:val="%4."/>
      <w:lvlJc w:val="left"/>
      <w:pPr>
        <w:ind w:left="2673" w:hanging="360"/>
      </w:pPr>
    </w:lvl>
    <w:lvl w:ilvl="4" w:tplc="1C090019" w:tentative="1">
      <w:start w:val="1"/>
      <w:numFmt w:val="lowerLetter"/>
      <w:lvlText w:val="%5."/>
      <w:lvlJc w:val="left"/>
      <w:pPr>
        <w:ind w:left="3393" w:hanging="360"/>
      </w:pPr>
    </w:lvl>
    <w:lvl w:ilvl="5" w:tplc="1C09001B" w:tentative="1">
      <w:start w:val="1"/>
      <w:numFmt w:val="lowerRoman"/>
      <w:lvlText w:val="%6."/>
      <w:lvlJc w:val="right"/>
      <w:pPr>
        <w:ind w:left="4113" w:hanging="180"/>
      </w:pPr>
    </w:lvl>
    <w:lvl w:ilvl="6" w:tplc="1C09000F" w:tentative="1">
      <w:start w:val="1"/>
      <w:numFmt w:val="decimal"/>
      <w:lvlText w:val="%7."/>
      <w:lvlJc w:val="left"/>
      <w:pPr>
        <w:ind w:left="4833" w:hanging="360"/>
      </w:pPr>
    </w:lvl>
    <w:lvl w:ilvl="7" w:tplc="1C090019" w:tentative="1">
      <w:start w:val="1"/>
      <w:numFmt w:val="lowerLetter"/>
      <w:lvlText w:val="%8."/>
      <w:lvlJc w:val="left"/>
      <w:pPr>
        <w:ind w:left="5553" w:hanging="360"/>
      </w:pPr>
    </w:lvl>
    <w:lvl w:ilvl="8" w:tplc="1C09001B" w:tentative="1">
      <w:start w:val="1"/>
      <w:numFmt w:val="lowerRoman"/>
      <w:lvlText w:val="%9."/>
      <w:lvlJc w:val="right"/>
      <w:pPr>
        <w:ind w:left="6273" w:hanging="180"/>
      </w:pPr>
    </w:lvl>
  </w:abstractNum>
  <w:abstractNum w:abstractNumId="2">
    <w:nsid w:val="19550C35"/>
    <w:multiLevelType w:val="hybridMultilevel"/>
    <w:tmpl w:val="136EC46A"/>
    <w:lvl w:ilvl="0" w:tplc="1C090001">
      <w:start w:val="1"/>
      <w:numFmt w:val="bullet"/>
      <w:lvlText w:val=""/>
      <w:lvlJc w:val="left"/>
      <w:pPr>
        <w:ind w:left="1505" w:hanging="360"/>
      </w:pPr>
      <w:rPr>
        <w:rFonts w:ascii="Symbol" w:hAnsi="Symbol" w:hint="default"/>
      </w:rPr>
    </w:lvl>
    <w:lvl w:ilvl="1" w:tplc="1C090003" w:tentative="1">
      <w:start w:val="1"/>
      <w:numFmt w:val="bullet"/>
      <w:lvlText w:val="o"/>
      <w:lvlJc w:val="left"/>
      <w:pPr>
        <w:ind w:left="2225" w:hanging="360"/>
      </w:pPr>
      <w:rPr>
        <w:rFonts w:ascii="Courier New" w:hAnsi="Courier New" w:cs="Courier New" w:hint="default"/>
      </w:rPr>
    </w:lvl>
    <w:lvl w:ilvl="2" w:tplc="1C090005" w:tentative="1">
      <w:start w:val="1"/>
      <w:numFmt w:val="bullet"/>
      <w:lvlText w:val=""/>
      <w:lvlJc w:val="left"/>
      <w:pPr>
        <w:ind w:left="2945" w:hanging="360"/>
      </w:pPr>
      <w:rPr>
        <w:rFonts w:ascii="Wingdings" w:hAnsi="Wingdings" w:hint="default"/>
      </w:rPr>
    </w:lvl>
    <w:lvl w:ilvl="3" w:tplc="1C090001" w:tentative="1">
      <w:start w:val="1"/>
      <w:numFmt w:val="bullet"/>
      <w:lvlText w:val=""/>
      <w:lvlJc w:val="left"/>
      <w:pPr>
        <w:ind w:left="3665" w:hanging="360"/>
      </w:pPr>
      <w:rPr>
        <w:rFonts w:ascii="Symbol" w:hAnsi="Symbol" w:hint="default"/>
      </w:rPr>
    </w:lvl>
    <w:lvl w:ilvl="4" w:tplc="1C090003" w:tentative="1">
      <w:start w:val="1"/>
      <w:numFmt w:val="bullet"/>
      <w:lvlText w:val="o"/>
      <w:lvlJc w:val="left"/>
      <w:pPr>
        <w:ind w:left="4385" w:hanging="360"/>
      </w:pPr>
      <w:rPr>
        <w:rFonts w:ascii="Courier New" w:hAnsi="Courier New" w:cs="Courier New" w:hint="default"/>
      </w:rPr>
    </w:lvl>
    <w:lvl w:ilvl="5" w:tplc="1C090005" w:tentative="1">
      <w:start w:val="1"/>
      <w:numFmt w:val="bullet"/>
      <w:lvlText w:val=""/>
      <w:lvlJc w:val="left"/>
      <w:pPr>
        <w:ind w:left="5105" w:hanging="360"/>
      </w:pPr>
      <w:rPr>
        <w:rFonts w:ascii="Wingdings" w:hAnsi="Wingdings" w:hint="default"/>
      </w:rPr>
    </w:lvl>
    <w:lvl w:ilvl="6" w:tplc="1C090001" w:tentative="1">
      <w:start w:val="1"/>
      <w:numFmt w:val="bullet"/>
      <w:lvlText w:val=""/>
      <w:lvlJc w:val="left"/>
      <w:pPr>
        <w:ind w:left="5825" w:hanging="360"/>
      </w:pPr>
      <w:rPr>
        <w:rFonts w:ascii="Symbol" w:hAnsi="Symbol" w:hint="default"/>
      </w:rPr>
    </w:lvl>
    <w:lvl w:ilvl="7" w:tplc="1C090003" w:tentative="1">
      <w:start w:val="1"/>
      <w:numFmt w:val="bullet"/>
      <w:lvlText w:val="o"/>
      <w:lvlJc w:val="left"/>
      <w:pPr>
        <w:ind w:left="6545" w:hanging="360"/>
      </w:pPr>
      <w:rPr>
        <w:rFonts w:ascii="Courier New" w:hAnsi="Courier New" w:cs="Courier New" w:hint="default"/>
      </w:rPr>
    </w:lvl>
    <w:lvl w:ilvl="8" w:tplc="1C090005" w:tentative="1">
      <w:start w:val="1"/>
      <w:numFmt w:val="bullet"/>
      <w:lvlText w:val=""/>
      <w:lvlJc w:val="left"/>
      <w:pPr>
        <w:ind w:left="7265" w:hanging="360"/>
      </w:pPr>
      <w:rPr>
        <w:rFonts w:ascii="Wingdings" w:hAnsi="Wingdings" w:hint="default"/>
      </w:rPr>
    </w:lvl>
  </w:abstractNum>
  <w:abstractNum w:abstractNumId="3">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217A72B6"/>
    <w:multiLevelType w:val="hybridMultilevel"/>
    <w:tmpl w:val="A5D42AB6"/>
    <w:lvl w:ilvl="0" w:tplc="13DC1D20">
      <w:start w:val="1"/>
      <w:numFmt w:val="decimal"/>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5">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746DE5"/>
    <w:multiLevelType w:val="hybridMultilevel"/>
    <w:tmpl w:val="0694B566"/>
    <w:lvl w:ilvl="0" w:tplc="D4C88140">
      <w:start w:val="1"/>
      <w:numFmt w:val="decimal"/>
      <w:lvlText w:val="(%1)"/>
      <w:lvlJc w:val="left"/>
      <w:pPr>
        <w:ind w:left="1920" w:hanging="360"/>
      </w:pPr>
      <w:rPr>
        <w:rFonts w:hint="default"/>
      </w:rPr>
    </w:lvl>
    <w:lvl w:ilvl="1" w:tplc="1C090019">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7">
    <w:nsid w:val="4A403F67"/>
    <w:multiLevelType w:val="hybridMultilevel"/>
    <w:tmpl w:val="041030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539077E0"/>
    <w:multiLevelType w:val="hybridMultilevel"/>
    <w:tmpl w:val="0D060E80"/>
    <w:lvl w:ilvl="0" w:tplc="5660282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1">
    <w:nsid w:val="68125AF3"/>
    <w:multiLevelType w:val="hybridMultilevel"/>
    <w:tmpl w:val="4E26724A"/>
    <w:lvl w:ilvl="0" w:tplc="1C090001">
      <w:start w:val="1"/>
      <w:numFmt w:val="bullet"/>
      <w:lvlText w:val=""/>
      <w:lvlJc w:val="left"/>
      <w:pPr>
        <w:ind w:left="1210" w:hanging="360"/>
      </w:pPr>
      <w:rPr>
        <w:rFonts w:ascii="Symbol" w:hAnsi="Symbol" w:hint="default"/>
      </w:rPr>
    </w:lvl>
    <w:lvl w:ilvl="1" w:tplc="1C090003" w:tentative="1">
      <w:start w:val="1"/>
      <w:numFmt w:val="bullet"/>
      <w:lvlText w:val="o"/>
      <w:lvlJc w:val="left"/>
      <w:pPr>
        <w:ind w:left="1930" w:hanging="360"/>
      </w:pPr>
      <w:rPr>
        <w:rFonts w:ascii="Courier New" w:hAnsi="Courier New" w:cs="Courier New"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12">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10"/>
  </w:num>
  <w:num w:numId="2">
    <w:abstractNumId w:val="5"/>
  </w:num>
  <w:num w:numId="3">
    <w:abstractNumId w:val="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
  </w:num>
  <w:num w:numId="7">
    <w:abstractNumId w:val="8"/>
  </w:num>
  <w:num w:numId="8">
    <w:abstractNumId w:val="6"/>
  </w:num>
  <w:num w:numId="9">
    <w:abstractNumId w:val="11"/>
  </w:num>
  <w:num w:numId="10">
    <w:abstractNumId w:val="1"/>
  </w:num>
  <w:num w:numId="11">
    <w:abstractNumId w:val="9"/>
  </w:num>
  <w:num w:numId="12">
    <w:abstractNumId w:val="4"/>
  </w:num>
  <w:num w:numId="13">
    <w:abstractNumId w:val="2"/>
  </w:num>
  <w:num w:numId="14">
    <w:abstractNumId w:val="7"/>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A5F"/>
    <w:rsid w:val="000811BC"/>
    <w:rsid w:val="00084A46"/>
    <w:rsid w:val="00085A2A"/>
    <w:rsid w:val="000874C5"/>
    <w:rsid w:val="000B0EB6"/>
    <w:rsid w:val="000B2098"/>
    <w:rsid w:val="000B4AC5"/>
    <w:rsid w:val="000B511E"/>
    <w:rsid w:val="000C37CD"/>
    <w:rsid w:val="000C7AFC"/>
    <w:rsid w:val="000D2B2E"/>
    <w:rsid w:val="000D5E18"/>
    <w:rsid w:val="000E0847"/>
    <w:rsid w:val="000E238C"/>
    <w:rsid w:val="000E244D"/>
    <w:rsid w:val="000E3FFE"/>
    <w:rsid w:val="000F4B3A"/>
    <w:rsid w:val="000F7154"/>
    <w:rsid w:val="001005E9"/>
    <w:rsid w:val="00100A49"/>
    <w:rsid w:val="0010109E"/>
    <w:rsid w:val="00105052"/>
    <w:rsid w:val="00113198"/>
    <w:rsid w:val="00113318"/>
    <w:rsid w:val="0012211E"/>
    <w:rsid w:val="00122E01"/>
    <w:rsid w:val="0012375B"/>
    <w:rsid w:val="00131BFD"/>
    <w:rsid w:val="00134648"/>
    <w:rsid w:val="00134C3F"/>
    <w:rsid w:val="001355B6"/>
    <w:rsid w:val="00136BB1"/>
    <w:rsid w:val="00143801"/>
    <w:rsid w:val="001440D5"/>
    <w:rsid w:val="0015187C"/>
    <w:rsid w:val="0016061A"/>
    <w:rsid w:val="00183267"/>
    <w:rsid w:val="001835AD"/>
    <w:rsid w:val="00185C4D"/>
    <w:rsid w:val="00185C4E"/>
    <w:rsid w:val="0019692B"/>
    <w:rsid w:val="001A1C58"/>
    <w:rsid w:val="001A37B9"/>
    <w:rsid w:val="001A5AA9"/>
    <w:rsid w:val="001B2B5D"/>
    <w:rsid w:val="001B46D4"/>
    <w:rsid w:val="001C203F"/>
    <w:rsid w:val="001C51E0"/>
    <w:rsid w:val="001C6CDB"/>
    <w:rsid w:val="001D2EB6"/>
    <w:rsid w:val="001D4562"/>
    <w:rsid w:val="001D6619"/>
    <w:rsid w:val="001E0319"/>
    <w:rsid w:val="001E1A97"/>
    <w:rsid w:val="001E587F"/>
    <w:rsid w:val="001E77A7"/>
    <w:rsid w:val="001F0384"/>
    <w:rsid w:val="001F17FC"/>
    <w:rsid w:val="001F31E6"/>
    <w:rsid w:val="00203262"/>
    <w:rsid w:val="00211743"/>
    <w:rsid w:val="002174E7"/>
    <w:rsid w:val="00221ABD"/>
    <w:rsid w:val="00221CAF"/>
    <w:rsid w:val="00221F1C"/>
    <w:rsid w:val="00224046"/>
    <w:rsid w:val="0023124F"/>
    <w:rsid w:val="002316D0"/>
    <w:rsid w:val="002418D7"/>
    <w:rsid w:val="00244322"/>
    <w:rsid w:val="00245CEE"/>
    <w:rsid w:val="002565C1"/>
    <w:rsid w:val="00257C83"/>
    <w:rsid w:val="002620BC"/>
    <w:rsid w:val="0027155D"/>
    <w:rsid w:val="00273F15"/>
    <w:rsid w:val="002901FA"/>
    <w:rsid w:val="002922CE"/>
    <w:rsid w:val="00292774"/>
    <w:rsid w:val="002962EB"/>
    <w:rsid w:val="0029651C"/>
    <w:rsid w:val="00297F06"/>
    <w:rsid w:val="002A580A"/>
    <w:rsid w:val="002B0286"/>
    <w:rsid w:val="002B7025"/>
    <w:rsid w:val="002B7A01"/>
    <w:rsid w:val="002D3BB8"/>
    <w:rsid w:val="002E18F1"/>
    <w:rsid w:val="002E39B0"/>
    <w:rsid w:val="002F729C"/>
    <w:rsid w:val="002F7976"/>
    <w:rsid w:val="003200B4"/>
    <w:rsid w:val="003225B0"/>
    <w:rsid w:val="00323C61"/>
    <w:rsid w:val="00326ADE"/>
    <w:rsid w:val="00332EDA"/>
    <w:rsid w:val="00333798"/>
    <w:rsid w:val="003500A3"/>
    <w:rsid w:val="00351776"/>
    <w:rsid w:val="00360151"/>
    <w:rsid w:val="003639EF"/>
    <w:rsid w:val="003658A1"/>
    <w:rsid w:val="00371AFD"/>
    <w:rsid w:val="00386EBC"/>
    <w:rsid w:val="00391B22"/>
    <w:rsid w:val="00392A4A"/>
    <w:rsid w:val="00397799"/>
    <w:rsid w:val="003A0C97"/>
    <w:rsid w:val="003A48E1"/>
    <w:rsid w:val="003B7EF6"/>
    <w:rsid w:val="003D196C"/>
    <w:rsid w:val="003D1E57"/>
    <w:rsid w:val="003F3285"/>
    <w:rsid w:val="003F3D4B"/>
    <w:rsid w:val="003F40BD"/>
    <w:rsid w:val="003F4CED"/>
    <w:rsid w:val="003F5497"/>
    <w:rsid w:val="00400487"/>
    <w:rsid w:val="0040215C"/>
    <w:rsid w:val="00402533"/>
    <w:rsid w:val="00404AD7"/>
    <w:rsid w:val="00411FA8"/>
    <w:rsid w:val="00413C30"/>
    <w:rsid w:val="0041417C"/>
    <w:rsid w:val="004171D3"/>
    <w:rsid w:val="00421190"/>
    <w:rsid w:val="00421215"/>
    <w:rsid w:val="00422C97"/>
    <w:rsid w:val="0042777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81F38"/>
    <w:rsid w:val="00485504"/>
    <w:rsid w:val="004A13DD"/>
    <w:rsid w:val="004A27DE"/>
    <w:rsid w:val="004A7396"/>
    <w:rsid w:val="004B54E9"/>
    <w:rsid w:val="004C34F2"/>
    <w:rsid w:val="004C7102"/>
    <w:rsid w:val="004D2EDA"/>
    <w:rsid w:val="004E1009"/>
    <w:rsid w:val="004E69A7"/>
    <w:rsid w:val="004E7504"/>
    <w:rsid w:val="004F5117"/>
    <w:rsid w:val="00506A53"/>
    <w:rsid w:val="00511D74"/>
    <w:rsid w:val="00513641"/>
    <w:rsid w:val="00513FB0"/>
    <w:rsid w:val="0051502B"/>
    <w:rsid w:val="0051632D"/>
    <w:rsid w:val="005178B4"/>
    <w:rsid w:val="00522363"/>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5030"/>
    <w:rsid w:val="0059567A"/>
    <w:rsid w:val="005A0373"/>
    <w:rsid w:val="005A09D3"/>
    <w:rsid w:val="005A257C"/>
    <w:rsid w:val="005A3561"/>
    <w:rsid w:val="005A56A1"/>
    <w:rsid w:val="005A5CFE"/>
    <w:rsid w:val="005A715D"/>
    <w:rsid w:val="005B2811"/>
    <w:rsid w:val="005B5D50"/>
    <w:rsid w:val="005B77A4"/>
    <w:rsid w:val="005C0461"/>
    <w:rsid w:val="005C71CA"/>
    <w:rsid w:val="005D1F3D"/>
    <w:rsid w:val="005D69D1"/>
    <w:rsid w:val="005E69AF"/>
    <w:rsid w:val="005F4728"/>
    <w:rsid w:val="00600850"/>
    <w:rsid w:val="00600BD5"/>
    <w:rsid w:val="006043CA"/>
    <w:rsid w:val="0061173D"/>
    <w:rsid w:val="00614C11"/>
    <w:rsid w:val="00614E22"/>
    <w:rsid w:val="00621979"/>
    <w:rsid w:val="00622769"/>
    <w:rsid w:val="006315F4"/>
    <w:rsid w:val="00634815"/>
    <w:rsid w:val="00636C07"/>
    <w:rsid w:val="00643247"/>
    <w:rsid w:val="006455AD"/>
    <w:rsid w:val="0064604A"/>
    <w:rsid w:val="0064726B"/>
    <w:rsid w:val="00650769"/>
    <w:rsid w:val="0065307F"/>
    <w:rsid w:val="00653822"/>
    <w:rsid w:val="006559CC"/>
    <w:rsid w:val="00657215"/>
    <w:rsid w:val="00657FAD"/>
    <w:rsid w:val="0066568F"/>
    <w:rsid w:val="00666AF5"/>
    <w:rsid w:val="006676D1"/>
    <w:rsid w:val="00680AEA"/>
    <w:rsid w:val="00685369"/>
    <w:rsid w:val="006862AD"/>
    <w:rsid w:val="006932BB"/>
    <w:rsid w:val="00696206"/>
    <w:rsid w:val="00697C4D"/>
    <w:rsid w:val="00697CF3"/>
    <w:rsid w:val="006A3A9B"/>
    <w:rsid w:val="006A50C0"/>
    <w:rsid w:val="006A757A"/>
    <w:rsid w:val="006B057C"/>
    <w:rsid w:val="006B1158"/>
    <w:rsid w:val="006C4112"/>
    <w:rsid w:val="006C7F54"/>
    <w:rsid w:val="006D2C99"/>
    <w:rsid w:val="006D4535"/>
    <w:rsid w:val="006D564E"/>
    <w:rsid w:val="006D638D"/>
    <w:rsid w:val="006D65AD"/>
    <w:rsid w:val="006E1517"/>
    <w:rsid w:val="006F111A"/>
    <w:rsid w:val="006F35CD"/>
    <w:rsid w:val="006F4B1B"/>
    <w:rsid w:val="006F64F8"/>
    <w:rsid w:val="006F78BD"/>
    <w:rsid w:val="0070156D"/>
    <w:rsid w:val="00704183"/>
    <w:rsid w:val="0070456B"/>
    <w:rsid w:val="00713498"/>
    <w:rsid w:val="00715D95"/>
    <w:rsid w:val="00722FEC"/>
    <w:rsid w:val="00723349"/>
    <w:rsid w:val="007241DD"/>
    <w:rsid w:val="007245D8"/>
    <w:rsid w:val="00725EAD"/>
    <w:rsid w:val="00731E1C"/>
    <w:rsid w:val="007325DE"/>
    <w:rsid w:val="007402CA"/>
    <w:rsid w:val="00740E7D"/>
    <w:rsid w:val="00743C1B"/>
    <w:rsid w:val="00744892"/>
    <w:rsid w:val="00746475"/>
    <w:rsid w:val="007468D2"/>
    <w:rsid w:val="00747B15"/>
    <w:rsid w:val="0075051F"/>
    <w:rsid w:val="00751A45"/>
    <w:rsid w:val="00755D11"/>
    <w:rsid w:val="0075620A"/>
    <w:rsid w:val="00762CB4"/>
    <w:rsid w:val="00766475"/>
    <w:rsid w:val="00766CE9"/>
    <w:rsid w:val="00770484"/>
    <w:rsid w:val="00770E46"/>
    <w:rsid w:val="00772336"/>
    <w:rsid w:val="00773002"/>
    <w:rsid w:val="007817ED"/>
    <w:rsid w:val="00782262"/>
    <w:rsid w:val="00784F64"/>
    <w:rsid w:val="0078533E"/>
    <w:rsid w:val="007879C0"/>
    <w:rsid w:val="00791BD0"/>
    <w:rsid w:val="007A2826"/>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06BB0"/>
    <w:rsid w:val="00817539"/>
    <w:rsid w:val="00821539"/>
    <w:rsid w:val="00821ABA"/>
    <w:rsid w:val="00826D26"/>
    <w:rsid w:val="008279FC"/>
    <w:rsid w:val="00832AD2"/>
    <w:rsid w:val="0084025B"/>
    <w:rsid w:val="00845006"/>
    <w:rsid w:val="00845585"/>
    <w:rsid w:val="00852F18"/>
    <w:rsid w:val="008575F4"/>
    <w:rsid w:val="00857E10"/>
    <w:rsid w:val="00860F4B"/>
    <w:rsid w:val="00865572"/>
    <w:rsid w:val="008709EB"/>
    <w:rsid w:val="0087209D"/>
    <w:rsid w:val="00873BDC"/>
    <w:rsid w:val="00874EAB"/>
    <w:rsid w:val="008773D7"/>
    <w:rsid w:val="008813B7"/>
    <w:rsid w:val="008843D5"/>
    <w:rsid w:val="008859A0"/>
    <w:rsid w:val="00893369"/>
    <w:rsid w:val="00895D3F"/>
    <w:rsid w:val="00895F87"/>
    <w:rsid w:val="008A4484"/>
    <w:rsid w:val="008A44F1"/>
    <w:rsid w:val="008B0CDF"/>
    <w:rsid w:val="008B0E18"/>
    <w:rsid w:val="008B2848"/>
    <w:rsid w:val="008C22C2"/>
    <w:rsid w:val="008C27D9"/>
    <w:rsid w:val="008D4969"/>
    <w:rsid w:val="008D5C43"/>
    <w:rsid w:val="008D5F8E"/>
    <w:rsid w:val="008E39AE"/>
    <w:rsid w:val="008E4350"/>
    <w:rsid w:val="008E4498"/>
    <w:rsid w:val="008E51E4"/>
    <w:rsid w:val="008E593B"/>
    <w:rsid w:val="008F3F23"/>
    <w:rsid w:val="008F3FE5"/>
    <w:rsid w:val="008F4456"/>
    <w:rsid w:val="00904841"/>
    <w:rsid w:val="00907BDD"/>
    <w:rsid w:val="0091152A"/>
    <w:rsid w:val="00916792"/>
    <w:rsid w:val="00917CDC"/>
    <w:rsid w:val="00924EAF"/>
    <w:rsid w:val="00925801"/>
    <w:rsid w:val="00927BDA"/>
    <w:rsid w:val="009306E0"/>
    <w:rsid w:val="00931E14"/>
    <w:rsid w:val="00933DC0"/>
    <w:rsid w:val="00933E0F"/>
    <w:rsid w:val="009358B9"/>
    <w:rsid w:val="009358D8"/>
    <w:rsid w:val="009407DD"/>
    <w:rsid w:val="00954574"/>
    <w:rsid w:val="009604A6"/>
    <w:rsid w:val="00965415"/>
    <w:rsid w:val="00967EE8"/>
    <w:rsid w:val="0097050B"/>
    <w:rsid w:val="00971CE4"/>
    <w:rsid w:val="00972777"/>
    <w:rsid w:val="00974D24"/>
    <w:rsid w:val="00984A0C"/>
    <w:rsid w:val="00984BF1"/>
    <w:rsid w:val="00991B77"/>
    <w:rsid w:val="00991C6C"/>
    <w:rsid w:val="009924B5"/>
    <w:rsid w:val="009956D6"/>
    <w:rsid w:val="009A5247"/>
    <w:rsid w:val="009B6B68"/>
    <w:rsid w:val="009C04C3"/>
    <w:rsid w:val="009C6091"/>
    <w:rsid w:val="009D5DC1"/>
    <w:rsid w:val="009E4722"/>
    <w:rsid w:val="009E722F"/>
    <w:rsid w:val="009F104A"/>
    <w:rsid w:val="009F18D7"/>
    <w:rsid w:val="009F1E3C"/>
    <w:rsid w:val="009F37D0"/>
    <w:rsid w:val="009F41D7"/>
    <w:rsid w:val="009F5B5D"/>
    <w:rsid w:val="00A07114"/>
    <w:rsid w:val="00A10986"/>
    <w:rsid w:val="00A11359"/>
    <w:rsid w:val="00A36D94"/>
    <w:rsid w:val="00A410F1"/>
    <w:rsid w:val="00A45652"/>
    <w:rsid w:val="00A46948"/>
    <w:rsid w:val="00A52004"/>
    <w:rsid w:val="00A5613F"/>
    <w:rsid w:val="00A564D9"/>
    <w:rsid w:val="00A60EEE"/>
    <w:rsid w:val="00A616F3"/>
    <w:rsid w:val="00A645C2"/>
    <w:rsid w:val="00A738F3"/>
    <w:rsid w:val="00A73A8F"/>
    <w:rsid w:val="00A749B6"/>
    <w:rsid w:val="00A76A9C"/>
    <w:rsid w:val="00A830EA"/>
    <w:rsid w:val="00A90AF6"/>
    <w:rsid w:val="00A9168E"/>
    <w:rsid w:val="00A966AE"/>
    <w:rsid w:val="00AA08FD"/>
    <w:rsid w:val="00AA1B87"/>
    <w:rsid w:val="00AA2897"/>
    <w:rsid w:val="00AB3C96"/>
    <w:rsid w:val="00AB79AC"/>
    <w:rsid w:val="00AC09C4"/>
    <w:rsid w:val="00AC0B56"/>
    <w:rsid w:val="00AC131E"/>
    <w:rsid w:val="00AC5723"/>
    <w:rsid w:val="00AC69A5"/>
    <w:rsid w:val="00AD28B2"/>
    <w:rsid w:val="00AE05EB"/>
    <w:rsid w:val="00AE0DBB"/>
    <w:rsid w:val="00AE1377"/>
    <w:rsid w:val="00AE5063"/>
    <w:rsid w:val="00AE6436"/>
    <w:rsid w:val="00AF266B"/>
    <w:rsid w:val="00B11A62"/>
    <w:rsid w:val="00B165B3"/>
    <w:rsid w:val="00B165F7"/>
    <w:rsid w:val="00B177C5"/>
    <w:rsid w:val="00B17FB7"/>
    <w:rsid w:val="00B21C7A"/>
    <w:rsid w:val="00B24178"/>
    <w:rsid w:val="00B24802"/>
    <w:rsid w:val="00B253A0"/>
    <w:rsid w:val="00B301A9"/>
    <w:rsid w:val="00B3353C"/>
    <w:rsid w:val="00B346B6"/>
    <w:rsid w:val="00B35035"/>
    <w:rsid w:val="00B35967"/>
    <w:rsid w:val="00B36A19"/>
    <w:rsid w:val="00B41BED"/>
    <w:rsid w:val="00B43005"/>
    <w:rsid w:val="00B473D5"/>
    <w:rsid w:val="00B47DBB"/>
    <w:rsid w:val="00B52604"/>
    <w:rsid w:val="00B545A0"/>
    <w:rsid w:val="00B55E3F"/>
    <w:rsid w:val="00B57E32"/>
    <w:rsid w:val="00B605C1"/>
    <w:rsid w:val="00B62DD3"/>
    <w:rsid w:val="00B653F5"/>
    <w:rsid w:val="00B70FF0"/>
    <w:rsid w:val="00B72DD5"/>
    <w:rsid w:val="00B86677"/>
    <w:rsid w:val="00B901AC"/>
    <w:rsid w:val="00B94EA1"/>
    <w:rsid w:val="00B969FE"/>
    <w:rsid w:val="00BA1CD4"/>
    <w:rsid w:val="00BA1D02"/>
    <w:rsid w:val="00BB13D8"/>
    <w:rsid w:val="00BC2B00"/>
    <w:rsid w:val="00BC7268"/>
    <w:rsid w:val="00BD159B"/>
    <w:rsid w:val="00BD39FB"/>
    <w:rsid w:val="00BE2758"/>
    <w:rsid w:val="00BE35AA"/>
    <w:rsid w:val="00BE7851"/>
    <w:rsid w:val="00BF25FE"/>
    <w:rsid w:val="00BF3EE7"/>
    <w:rsid w:val="00BF78F1"/>
    <w:rsid w:val="00BF7EA2"/>
    <w:rsid w:val="00C0359C"/>
    <w:rsid w:val="00C103F1"/>
    <w:rsid w:val="00C2025C"/>
    <w:rsid w:val="00C21B68"/>
    <w:rsid w:val="00C24092"/>
    <w:rsid w:val="00C26F5E"/>
    <w:rsid w:val="00C307AC"/>
    <w:rsid w:val="00C339A4"/>
    <w:rsid w:val="00C34739"/>
    <w:rsid w:val="00C34FD1"/>
    <w:rsid w:val="00C373B4"/>
    <w:rsid w:val="00C42767"/>
    <w:rsid w:val="00C44C9E"/>
    <w:rsid w:val="00C45207"/>
    <w:rsid w:val="00C527FC"/>
    <w:rsid w:val="00C52AA3"/>
    <w:rsid w:val="00C576FE"/>
    <w:rsid w:val="00C57AC2"/>
    <w:rsid w:val="00C57D8E"/>
    <w:rsid w:val="00C72BD9"/>
    <w:rsid w:val="00C74E11"/>
    <w:rsid w:val="00C86B1F"/>
    <w:rsid w:val="00C927F2"/>
    <w:rsid w:val="00C960DE"/>
    <w:rsid w:val="00CA1F73"/>
    <w:rsid w:val="00CA56EF"/>
    <w:rsid w:val="00CA6FA2"/>
    <w:rsid w:val="00CB24C2"/>
    <w:rsid w:val="00CD26AC"/>
    <w:rsid w:val="00CE087F"/>
    <w:rsid w:val="00CE2C8B"/>
    <w:rsid w:val="00CF1C13"/>
    <w:rsid w:val="00CF403E"/>
    <w:rsid w:val="00CF71B4"/>
    <w:rsid w:val="00CF76E9"/>
    <w:rsid w:val="00D03368"/>
    <w:rsid w:val="00D03CFD"/>
    <w:rsid w:val="00D04703"/>
    <w:rsid w:val="00D0696F"/>
    <w:rsid w:val="00D10D98"/>
    <w:rsid w:val="00D128B0"/>
    <w:rsid w:val="00D17FE3"/>
    <w:rsid w:val="00D21F40"/>
    <w:rsid w:val="00D23982"/>
    <w:rsid w:val="00D23AD0"/>
    <w:rsid w:val="00D24DE1"/>
    <w:rsid w:val="00D25293"/>
    <w:rsid w:val="00D26F9E"/>
    <w:rsid w:val="00D316EC"/>
    <w:rsid w:val="00D369F6"/>
    <w:rsid w:val="00D37537"/>
    <w:rsid w:val="00D37F9B"/>
    <w:rsid w:val="00D47AF6"/>
    <w:rsid w:val="00D55437"/>
    <w:rsid w:val="00D55752"/>
    <w:rsid w:val="00D61B85"/>
    <w:rsid w:val="00D6500F"/>
    <w:rsid w:val="00D70A77"/>
    <w:rsid w:val="00D74382"/>
    <w:rsid w:val="00D74D2F"/>
    <w:rsid w:val="00D75252"/>
    <w:rsid w:val="00D76FA4"/>
    <w:rsid w:val="00D7725A"/>
    <w:rsid w:val="00D849FF"/>
    <w:rsid w:val="00D85F0C"/>
    <w:rsid w:val="00D91F9D"/>
    <w:rsid w:val="00D95BCE"/>
    <w:rsid w:val="00D97579"/>
    <w:rsid w:val="00DA0779"/>
    <w:rsid w:val="00DA0BDC"/>
    <w:rsid w:val="00DA3A7C"/>
    <w:rsid w:val="00DA3D22"/>
    <w:rsid w:val="00DA578C"/>
    <w:rsid w:val="00DA66E5"/>
    <w:rsid w:val="00DB59D7"/>
    <w:rsid w:val="00DB75E0"/>
    <w:rsid w:val="00DC1DAF"/>
    <w:rsid w:val="00DC28F1"/>
    <w:rsid w:val="00DC5DF3"/>
    <w:rsid w:val="00DD185C"/>
    <w:rsid w:val="00DD54E8"/>
    <w:rsid w:val="00DD7501"/>
    <w:rsid w:val="00DE6494"/>
    <w:rsid w:val="00DF24A7"/>
    <w:rsid w:val="00DF5820"/>
    <w:rsid w:val="00DF79D0"/>
    <w:rsid w:val="00E01F6C"/>
    <w:rsid w:val="00E03388"/>
    <w:rsid w:val="00E05515"/>
    <w:rsid w:val="00E05BE2"/>
    <w:rsid w:val="00E06306"/>
    <w:rsid w:val="00E13A36"/>
    <w:rsid w:val="00E154EB"/>
    <w:rsid w:val="00E161DB"/>
    <w:rsid w:val="00E17DD6"/>
    <w:rsid w:val="00E2469A"/>
    <w:rsid w:val="00E32382"/>
    <w:rsid w:val="00E40762"/>
    <w:rsid w:val="00E53240"/>
    <w:rsid w:val="00E547E7"/>
    <w:rsid w:val="00E604FF"/>
    <w:rsid w:val="00E65C78"/>
    <w:rsid w:val="00E65E8A"/>
    <w:rsid w:val="00E67E28"/>
    <w:rsid w:val="00E70990"/>
    <w:rsid w:val="00E76256"/>
    <w:rsid w:val="00E843C3"/>
    <w:rsid w:val="00E84932"/>
    <w:rsid w:val="00E916B8"/>
    <w:rsid w:val="00E92727"/>
    <w:rsid w:val="00E971FE"/>
    <w:rsid w:val="00EA5D6F"/>
    <w:rsid w:val="00EB1F6D"/>
    <w:rsid w:val="00EB6AA1"/>
    <w:rsid w:val="00EC171E"/>
    <w:rsid w:val="00EC1A90"/>
    <w:rsid w:val="00EC5D81"/>
    <w:rsid w:val="00EC6948"/>
    <w:rsid w:val="00EC6A09"/>
    <w:rsid w:val="00ED344E"/>
    <w:rsid w:val="00EE300B"/>
    <w:rsid w:val="00EE37B5"/>
    <w:rsid w:val="00EE5A15"/>
    <w:rsid w:val="00EE7B31"/>
    <w:rsid w:val="00EF2319"/>
    <w:rsid w:val="00EF66D4"/>
    <w:rsid w:val="00EF7055"/>
    <w:rsid w:val="00F000D2"/>
    <w:rsid w:val="00F11606"/>
    <w:rsid w:val="00F13256"/>
    <w:rsid w:val="00F17697"/>
    <w:rsid w:val="00F3479A"/>
    <w:rsid w:val="00F35196"/>
    <w:rsid w:val="00F35583"/>
    <w:rsid w:val="00F363E4"/>
    <w:rsid w:val="00F3695E"/>
    <w:rsid w:val="00F374AD"/>
    <w:rsid w:val="00F41641"/>
    <w:rsid w:val="00F434FC"/>
    <w:rsid w:val="00F4658B"/>
    <w:rsid w:val="00F51113"/>
    <w:rsid w:val="00F54821"/>
    <w:rsid w:val="00F60C74"/>
    <w:rsid w:val="00F61C46"/>
    <w:rsid w:val="00F61D4C"/>
    <w:rsid w:val="00F62C12"/>
    <w:rsid w:val="00F720D5"/>
    <w:rsid w:val="00F75BFC"/>
    <w:rsid w:val="00F75EB0"/>
    <w:rsid w:val="00F93680"/>
    <w:rsid w:val="00FA0083"/>
    <w:rsid w:val="00FA12D4"/>
    <w:rsid w:val="00FA14B9"/>
    <w:rsid w:val="00FA2404"/>
    <w:rsid w:val="00FA30B2"/>
    <w:rsid w:val="00FA5D9F"/>
    <w:rsid w:val="00FA759C"/>
    <w:rsid w:val="00FB0AF3"/>
    <w:rsid w:val="00FB1940"/>
    <w:rsid w:val="00FB6D36"/>
    <w:rsid w:val="00FC3205"/>
    <w:rsid w:val="00FC3417"/>
    <w:rsid w:val="00FC40D3"/>
    <w:rsid w:val="00FC4CE9"/>
    <w:rsid w:val="00FC5855"/>
    <w:rsid w:val="00FC7327"/>
    <w:rsid w:val="00FD0B46"/>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25EAD"/>
    <w:rPr>
      <w:sz w:val="24"/>
      <w:szCs w:val="24"/>
      <w:lang w:val="en-US" w:eastAsia="en-US"/>
    </w:rPr>
  </w:style>
  <w:style w:type="paragraph" w:customStyle="1" w:styleId="Default">
    <w:name w:val="Default"/>
    <w:rsid w:val="006676D1"/>
    <w:pPr>
      <w:widowControl w:val="0"/>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USER</cp:lastModifiedBy>
  <cp:revision>2</cp:revision>
  <cp:lastPrinted>2021-03-17T10:55:00Z</cp:lastPrinted>
  <dcterms:created xsi:type="dcterms:W3CDTF">2021-04-19T09:45:00Z</dcterms:created>
  <dcterms:modified xsi:type="dcterms:W3CDTF">2021-04-19T09:45:00Z</dcterms:modified>
</cp:coreProperties>
</file>