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C33338" w:rsidRDefault="006C090A" w:rsidP="00C33338">
      <w:pPr>
        <w:tabs>
          <w:tab w:val="left" w:pos="7020"/>
        </w:tabs>
        <w:jc w:val="center"/>
        <w:rPr>
          <w:rFonts w:ascii="Arial" w:hAnsi="Arial" w:cs="Arial"/>
          <w:b/>
          <w:sz w:val="24"/>
          <w:szCs w:val="24"/>
        </w:rPr>
      </w:pPr>
      <w:r w:rsidRPr="00C33338">
        <w:rPr>
          <w:rFonts w:ascii="Arial" w:hAnsi="Arial" w:cs="Arial"/>
          <w:b/>
          <w:sz w:val="24"/>
          <w:szCs w:val="24"/>
        </w:rPr>
        <w:t>PARLIAMENT OF THE REPUBLIC OF SOUTH AFRICA</w:t>
      </w:r>
    </w:p>
    <w:p w:rsidR="006C090A" w:rsidRPr="00C33338" w:rsidRDefault="006C090A" w:rsidP="00C33338">
      <w:pPr>
        <w:tabs>
          <w:tab w:val="left" w:pos="7020"/>
        </w:tabs>
        <w:jc w:val="center"/>
        <w:rPr>
          <w:rFonts w:ascii="Arial" w:hAnsi="Arial" w:cs="Arial"/>
          <w:b/>
          <w:sz w:val="24"/>
          <w:szCs w:val="24"/>
        </w:rPr>
      </w:pPr>
    </w:p>
    <w:p w:rsidR="006C090A" w:rsidRPr="00C33338" w:rsidRDefault="006C090A" w:rsidP="00C33338">
      <w:pPr>
        <w:tabs>
          <w:tab w:val="left" w:pos="7020"/>
        </w:tabs>
        <w:jc w:val="center"/>
        <w:rPr>
          <w:rFonts w:ascii="Arial" w:hAnsi="Arial" w:cs="Arial"/>
          <w:b/>
          <w:sz w:val="24"/>
          <w:szCs w:val="24"/>
        </w:rPr>
      </w:pPr>
      <w:r w:rsidRPr="00C33338">
        <w:rPr>
          <w:rFonts w:ascii="Arial" w:hAnsi="Arial" w:cs="Arial"/>
          <w:b/>
          <w:sz w:val="24"/>
          <w:szCs w:val="24"/>
        </w:rPr>
        <w:t>NATIONAL ASSEMBLY</w:t>
      </w:r>
    </w:p>
    <w:p w:rsidR="006C090A" w:rsidRPr="00C33338" w:rsidRDefault="006C090A" w:rsidP="00C33338">
      <w:pPr>
        <w:tabs>
          <w:tab w:val="left" w:pos="7020"/>
        </w:tabs>
        <w:rPr>
          <w:rFonts w:ascii="Arial" w:hAnsi="Arial" w:cs="Arial"/>
          <w:b/>
          <w:sz w:val="24"/>
          <w:szCs w:val="24"/>
        </w:rPr>
      </w:pPr>
    </w:p>
    <w:p w:rsidR="006C090A" w:rsidRPr="00C33338" w:rsidRDefault="006C090A" w:rsidP="00C33338">
      <w:pPr>
        <w:tabs>
          <w:tab w:val="left" w:pos="7020"/>
        </w:tabs>
        <w:jc w:val="center"/>
        <w:rPr>
          <w:rFonts w:ascii="Arial" w:hAnsi="Arial" w:cs="Arial"/>
          <w:b/>
          <w:sz w:val="24"/>
          <w:szCs w:val="24"/>
        </w:rPr>
      </w:pPr>
      <w:r w:rsidRPr="00C33338">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BC6EB4">
        <w:rPr>
          <w:rFonts w:ascii="Arial" w:hAnsi="Arial" w:cs="Arial"/>
          <w:b/>
          <w:sz w:val="24"/>
          <w:szCs w:val="24"/>
        </w:rPr>
        <w:t>821</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C33338">
        <w:rPr>
          <w:rFonts w:ascii="Arial" w:hAnsi="Arial" w:cs="Arial"/>
          <w:b/>
          <w:sz w:val="24"/>
          <w:szCs w:val="24"/>
        </w:rPr>
        <w:t>16 March 2018</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C33338">
        <w:rPr>
          <w:rFonts w:ascii="Arial" w:hAnsi="Arial" w:cs="Arial"/>
          <w:b/>
          <w:sz w:val="24"/>
          <w:szCs w:val="24"/>
        </w:rPr>
        <w:t xml:space="preserve"> 08</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6C090A" w:rsidRDefault="006C090A" w:rsidP="00026E8B">
      <w:pPr>
        <w:tabs>
          <w:tab w:val="left" w:pos="7020"/>
        </w:tabs>
        <w:spacing w:line="360" w:lineRule="auto"/>
        <w:rPr>
          <w:rFonts w:ascii="Arial" w:hAnsi="Arial" w:cs="Arial"/>
          <w:b/>
          <w:sz w:val="24"/>
          <w:szCs w:val="24"/>
          <w:u w:val="single"/>
        </w:rPr>
      </w:pPr>
    </w:p>
    <w:p w:rsidR="00DB1861" w:rsidRDefault="00320273" w:rsidP="00C33338">
      <w:pPr>
        <w:tabs>
          <w:tab w:val="left" w:pos="7020"/>
        </w:tabs>
        <w:jc w:val="both"/>
        <w:rPr>
          <w:rFonts w:ascii="Arial" w:hAnsi="Arial" w:cs="Arial"/>
          <w:b/>
          <w:sz w:val="24"/>
          <w:szCs w:val="24"/>
        </w:rPr>
      </w:pPr>
      <w:r>
        <w:rPr>
          <w:rFonts w:ascii="Arial" w:hAnsi="Arial" w:cs="Arial"/>
          <w:b/>
          <w:sz w:val="24"/>
          <w:szCs w:val="24"/>
        </w:rPr>
        <w:t xml:space="preserve">Mr </w:t>
      </w:r>
      <w:r w:rsidR="005F07FA">
        <w:rPr>
          <w:rFonts w:ascii="Arial" w:hAnsi="Arial" w:cs="Arial"/>
          <w:b/>
          <w:sz w:val="24"/>
          <w:szCs w:val="24"/>
        </w:rPr>
        <w:t>D Bergman</w:t>
      </w:r>
      <w:r w:rsidR="001B427A" w:rsidRPr="001B427A">
        <w:rPr>
          <w:rFonts w:ascii="Arial" w:hAnsi="Arial" w:cs="Arial"/>
          <w:sz w:val="24"/>
          <w:szCs w:val="24"/>
        </w:rPr>
        <w:t xml:space="preserve"> </w:t>
      </w:r>
      <w:r w:rsidR="001C722C">
        <w:rPr>
          <w:rFonts w:ascii="Arial" w:hAnsi="Arial" w:cs="Arial"/>
          <w:b/>
          <w:sz w:val="24"/>
          <w:szCs w:val="24"/>
        </w:rPr>
        <w:t>(DA)</w:t>
      </w:r>
      <w:r w:rsidR="00DB1861" w:rsidRPr="006C090A">
        <w:rPr>
          <w:rFonts w:ascii="Arial" w:hAnsi="Arial" w:cs="Arial"/>
          <w:b/>
          <w:sz w:val="24"/>
          <w:szCs w:val="24"/>
        </w:rPr>
        <w:t xml:space="preserve"> to ask the Minister of Telecommunications and Postal Services:</w:t>
      </w:r>
    </w:p>
    <w:p w:rsidR="00C33338" w:rsidRDefault="00C33338" w:rsidP="00C33338">
      <w:pPr>
        <w:tabs>
          <w:tab w:val="left" w:pos="7020"/>
        </w:tabs>
        <w:jc w:val="both"/>
        <w:rPr>
          <w:rFonts w:ascii="Arial" w:hAnsi="Arial" w:cs="Arial"/>
          <w:b/>
          <w:sz w:val="24"/>
          <w:szCs w:val="24"/>
        </w:rPr>
      </w:pPr>
    </w:p>
    <w:p w:rsidR="00C33338" w:rsidRPr="00C33338" w:rsidRDefault="00C33338" w:rsidP="00C33338">
      <w:pPr>
        <w:tabs>
          <w:tab w:val="left" w:pos="432"/>
          <w:tab w:val="left" w:pos="720"/>
        </w:tabs>
        <w:jc w:val="both"/>
        <w:rPr>
          <w:rFonts w:ascii="Arial" w:hAnsi="Arial" w:cs="Arial"/>
          <w:sz w:val="24"/>
          <w:szCs w:val="24"/>
          <w:lang w:val="en-US"/>
        </w:rPr>
      </w:pPr>
      <w:r w:rsidRPr="006E61DD">
        <w:rPr>
          <w:color w:val="000000"/>
          <w:sz w:val="24"/>
          <w:szCs w:val="24"/>
          <w:lang w:val="en-US" w:eastAsia="en-ZA"/>
        </w:rPr>
        <w:t>(</w:t>
      </w:r>
      <w:r w:rsidRPr="00C33338">
        <w:rPr>
          <w:rFonts w:ascii="Arial" w:hAnsi="Arial" w:cs="Arial"/>
          <w:color w:val="000000"/>
          <w:sz w:val="24"/>
          <w:szCs w:val="24"/>
          <w:lang w:val="en-US" w:eastAsia="en-ZA"/>
        </w:rPr>
        <w:t>a) What is the nature and terms of involvement of a certain company (name furnished) with Sentech, (b) how was the arrangement initiated, (c) what is the value of the involvement, (d) what deliverables are expected from the specified company, (e) what are the details of the costs to Sentech of connecting the company’s signals to its network and (f) has he found that the arrangement is compliant with the Public Finance Management Act, Act 1 of 1999</w:t>
      </w:r>
      <w:r w:rsidRPr="00C33338">
        <w:rPr>
          <w:rFonts w:ascii="Arial" w:hAnsi="Arial" w:cs="Arial"/>
          <w:sz w:val="24"/>
          <w:szCs w:val="24"/>
          <w:lang w:val="en-US"/>
        </w:rPr>
        <w:t>?</w:t>
      </w:r>
      <w:r w:rsidRPr="00C33338">
        <w:rPr>
          <w:rFonts w:ascii="Arial" w:hAnsi="Arial" w:cs="Arial"/>
          <w:sz w:val="24"/>
          <w:szCs w:val="24"/>
          <w:lang w:val="en-US"/>
        </w:rPr>
        <w:tab/>
      </w:r>
      <w:r w:rsidRPr="00C33338">
        <w:rPr>
          <w:rFonts w:ascii="Arial" w:hAnsi="Arial" w:cs="Arial"/>
          <w:sz w:val="24"/>
          <w:szCs w:val="24"/>
          <w:lang w:val="en-US"/>
        </w:rPr>
        <w:tab/>
      </w:r>
      <w:r w:rsidRPr="00C33338">
        <w:rPr>
          <w:rFonts w:ascii="Arial" w:hAnsi="Arial" w:cs="Arial"/>
          <w:sz w:val="24"/>
          <w:szCs w:val="24"/>
          <w:lang w:val="en-US"/>
        </w:rPr>
        <w:tab/>
      </w:r>
      <w:r w:rsidRPr="00C33338">
        <w:rPr>
          <w:rFonts w:ascii="Arial" w:hAnsi="Arial" w:cs="Arial"/>
          <w:sz w:val="24"/>
          <w:szCs w:val="24"/>
          <w:lang w:val="en-US"/>
        </w:rPr>
        <w:tab/>
      </w:r>
      <w:r w:rsidRPr="00C33338">
        <w:rPr>
          <w:rFonts w:ascii="Arial" w:hAnsi="Arial" w:cs="Arial"/>
          <w:sz w:val="24"/>
          <w:szCs w:val="24"/>
          <w:lang w:val="en-US"/>
        </w:rPr>
        <w:tab/>
      </w:r>
    </w:p>
    <w:p w:rsidR="00C33338" w:rsidRPr="00C33338" w:rsidRDefault="00C33338" w:rsidP="00C33338">
      <w:pPr>
        <w:tabs>
          <w:tab w:val="left" w:pos="432"/>
          <w:tab w:val="left" w:pos="720"/>
        </w:tabs>
        <w:ind w:left="720"/>
        <w:jc w:val="right"/>
        <w:rPr>
          <w:rFonts w:ascii="Arial" w:hAnsi="Arial" w:cs="Arial"/>
          <w:sz w:val="24"/>
          <w:szCs w:val="24"/>
        </w:rPr>
      </w:pPr>
      <w:r w:rsidRPr="00C33338">
        <w:rPr>
          <w:rFonts w:ascii="Arial" w:hAnsi="Arial" w:cs="Arial"/>
          <w:sz w:val="24"/>
          <w:szCs w:val="24"/>
          <w:lang w:val="en-US"/>
        </w:rPr>
        <w:t>NW906E</w:t>
      </w:r>
    </w:p>
    <w:p w:rsidR="006C090A" w:rsidRPr="006C090A" w:rsidRDefault="00C33338" w:rsidP="00C33338">
      <w:pPr>
        <w:tabs>
          <w:tab w:val="left" w:pos="5790"/>
        </w:tabs>
        <w:jc w:val="both"/>
        <w:rPr>
          <w:rFonts w:ascii="Arial" w:hAnsi="Arial" w:cs="Arial"/>
          <w:b/>
          <w:sz w:val="24"/>
          <w:szCs w:val="24"/>
        </w:rPr>
      </w:pPr>
      <w:r>
        <w:rPr>
          <w:rFonts w:ascii="Arial" w:hAnsi="Arial" w:cs="Arial"/>
          <w:b/>
          <w:sz w:val="24"/>
          <w:szCs w:val="24"/>
        </w:rPr>
        <w:tab/>
      </w:r>
    </w:p>
    <w:p w:rsidR="001B427A" w:rsidRDefault="001B427A" w:rsidP="00FD2890">
      <w:pPr>
        <w:tabs>
          <w:tab w:val="left" w:pos="180"/>
        </w:tabs>
        <w:spacing w:line="360" w:lineRule="auto"/>
        <w:jc w:val="both"/>
        <w:rPr>
          <w:rFonts w:ascii="Arial" w:hAnsi="Arial" w:cs="Arial"/>
          <w:b/>
          <w:sz w:val="24"/>
          <w:szCs w:val="24"/>
        </w:rPr>
      </w:pPr>
    </w:p>
    <w:p w:rsidR="006C090A" w:rsidRDefault="004C58F4" w:rsidP="00FD2890">
      <w:pPr>
        <w:tabs>
          <w:tab w:val="left" w:pos="180"/>
        </w:tabs>
        <w:spacing w:line="360" w:lineRule="auto"/>
        <w:jc w:val="both"/>
        <w:rPr>
          <w:rFonts w:ascii="Arial" w:hAnsi="Arial" w:cs="Arial"/>
          <w:b/>
          <w:sz w:val="24"/>
          <w:szCs w:val="24"/>
        </w:rPr>
      </w:pPr>
      <w:r>
        <w:rPr>
          <w:rFonts w:ascii="Arial" w:hAnsi="Arial" w:cs="Arial"/>
          <w:b/>
          <w:sz w:val="24"/>
          <w:szCs w:val="24"/>
        </w:rPr>
        <w:t>REPLY:</w:t>
      </w:r>
    </w:p>
    <w:p w:rsidR="00746444" w:rsidRDefault="00746444" w:rsidP="00FD2890">
      <w:pPr>
        <w:tabs>
          <w:tab w:val="left" w:pos="180"/>
        </w:tabs>
        <w:spacing w:line="360" w:lineRule="auto"/>
        <w:jc w:val="both"/>
        <w:rPr>
          <w:rFonts w:ascii="Arial" w:hAnsi="Arial" w:cs="Arial"/>
          <w:b/>
          <w:sz w:val="24"/>
          <w:szCs w:val="24"/>
        </w:rPr>
      </w:pPr>
      <w:r>
        <w:rPr>
          <w:rFonts w:ascii="Arial" w:hAnsi="Arial" w:cs="Arial"/>
          <w:b/>
          <w:sz w:val="24"/>
          <w:szCs w:val="24"/>
        </w:rPr>
        <w:t xml:space="preserve">I have been informed by </w:t>
      </w:r>
      <w:r w:rsidR="00BC6EB4">
        <w:rPr>
          <w:rFonts w:ascii="Arial" w:hAnsi="Arial" w:cs="Arial"/>
          <w:b/>
          <w:sz w:val="24"/>
          <w:szCs w:val="24"/>
        </w:rPr>
        <w:t>SENTECH</w:t>
      </w:r>
      <w:r>
        <w:rPr>
          <w:rFonts w:ascii="Arial" w:hAnsi="Arial" w:cs="Arial"/>
          <w:b/>
          <w:sz w:val="24"/>
          <w:szCs w:val="24"/>
        </w:rPr>
        <w:t xml:space="preserve"> as follows:</w:t>
      </w:r>
    </w:p>
    <w:p w:rsidR="007911FD" w:rsidRDefault="007911FD" w:rsidP="00C33338">
      <w:pPr>
        <w:numPr>
          <w:ilvl w:val="0"/>
          <w:numId w:val="41"/>
        </w:numPr>
        <w:ind w:left="567"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Sentech procures satellite capacity from Intelsat and currently has three lease agreements with Intelsat with the longest (length of agreement) due to expire on 30 July 2030.</w:t>
      </w:r>
    </w:p>
    <w:p w:rsidR="00C33338" w:rsidRDefault="00C33338" w:rsidP="00C33338">
      <w:pPr>
        <w:ind w:left="567" w:hanging="567"/>
        <w:jc w:val="both"/>
        <w:rPr>
          <w:rFonts w:ascii="Arial" w:eastAsia="Calibri" w:hAnsi="Arial" w:cs="Arial"/>
          <w:color w:val="000000"/>
          <w:sz w:val="24"/>
          <w:szCs w:val="24"/>
          <w:lang w:eastAsia="en-ZA"/>
        </w:rPr>
      </w:pPr>
    </w:p>
    <w:p w:rsidR="00C33338" w:rsidRPr="00C33338" w:rsidRDefault="007911FD" w:rsidP="00C33338">
      <w:pPr>
        <w:numPr>
          <w:ilvl w:val="0"/>
          <w:numId w:val="41"/>
        </w:numPr>
        <w:ind w:left="567" w:hanging="567"/>
        <w:jc w:val="both"/>
        <w:rPr>
          <w:rFonts w:ascii="Arial" w:hAnsi="Arial" w:cs="Arial"/>
          <w:b/>
          <w:sz w:val="24"/>
          <w:szCs w:val="24"/>
        </w:rPr>
      </w:pPr>
      <w:r>
        <w:rPr>
          <w:rFonts w:ascii="Arial" w:eastAsia="Calibri" w:hAnsi="Arial" w:cs="Arial"/>
          <w:color w:val="000000"/>
          <w:sz w:val="24"/>
          <w:szCs w:val="24"/>
          <w:lang w:eastAsia="en-ZA"/>
        </w:rPr>
        <w:t>The satellite capacity is a key commodity and strategic product for Sentech as it allows Sentech to continue to be relevant in the DTH broadcasting space. Sentech followed a negotiated process which was approved through internal approval committees. The reason for the negotiated process</w:t>
      </w:r>
      <w:r w:rsidR="00A54B56">
        <w:rPr>
          <w:rFonts w:ascii="Arial" w:eastAsia="Calibri" w:hAnsi="Arial" w:cs="Arial"/>
          <w:color w:val="000000"/>
          <w:sz w:val="24"/>
          <w:szCs w:val="24"/>
          <w:lang w:eastAsia="en-ZA"/>
        </w:rPr>
        <w:t xml:space="preserve"> was due to Sub-Saharan transponder covering African and part of Europe becoming available on Intelsat’s IS20 satellite platform and this presented an opportunity for Sentech to enhance and improve its DTH revenue stream. The capacity could also be used to offer Sentech existing customers HD services.</w:t>
      </w:r>
    </w:p>
    <w:p w:rsidR="00C33338" w:rsidRDefault="00C33338" w:rsidP="00C33338">
      <w:pPr>
        <w:pStyle w:val="ListParagraph"/>
        <w:ind w:left="567" w:hanging="567"/>
        <w:rPr>
          <w:rFonts w:ascii="Arial" w:eastAsia="Calibri" w:hAnsi="Arial" w:cs="Arial"/>
          <w:b/>
          <w:color w:val="000000"/>
          <w:szCs w:val="24"/>
          <w:lang w:eastAsia="en-ZA"/>
        </w:rPr>
      </w:pPr>
    </w:p>
    <w:p w:rsidR="00A54B56" w:rsidRPr="00A54B56" w:rsidRDefault="005C1C5C" w:rsidP="00C33338">
      <w:pPr>
        <w:ind w:left="567" w:hanging="567"/>
        <w:jc w:val="both"/>
        <w:rPr>
          <w:rFonts w:ascii="Arial" w:hAnsi="Arial" w:cs="Arial"/>
          <w:b/>
          <w:sz w:val="24"/>
          <w:szCs w:val="24"/>
        </w:rPr>
      </w:pPr>
      <w:r w:rsidRPr="005C1C5C">
        <w:rPr>
          <w:rFonts w:ascii="Arial" w:eastAsia="Calibri" w:hAnsi="Arial" w:cs="Arial"/>
          <w:b/>
          <w:color w:val="000000"/>
          <w:sz w:val="24"/>
          <w:szCs w:val="24"/>
          <w:lang w:eastAsia="en-ZA"/>
        </w:rPr>
        <w:t xml:space="preserve">   </w:t>
      </w:r>
    </w:p>
    <w:p w:rsidR="006C090A" w:rsidRPr="00A54B56" w:rsidRDefault="00A54B56" w:rsidP="00C33338">
      <w:pPr>
        <w:numPr>
          <w:ilvl w:val="0"/>
          <w:numId w:val="41"/>
        </w:numPr>
        <w:ind w:left="567" w:hanging="567"/>
        <w:jc w:val="both"/>
        <w:rPr>
          <w:rFonts w:ascii="Arial" w:hAnsi="Arial" w:cs="Arial"/>
          <w:sz w:val="24"/>
          <w:szCs w:val="24"/>
        </w:rPr>
      </w:pPr>
      <w:r w:rsidRPr="00A54B56">
        <w:rPr>
          <w:rFonts w:ascii="Arial" w:eastAsia="Calibri" w:hAnsi="Arial" w:cs="Arial"/>
          <w:color w:val="000000"/>
          <w:sz w:val="24"/>
          <w:szCs w:val="24"/>
          <w:lang w:eastAsia="en-ZA"/>
        </w:rPr>
        <w:t>The value of the satellite services provided amount</w:t>
      </w:r>
      <w:r>
        <w:rPr>
          <w:rFonts w:ascii="Arial" w:eastAsia="Calibri" w:hAnsi="Arial" w:cs="Arial"/>
          <w:color w:val="000000"/>
          <w:sz w:val="24"/>
          <w:szCs w:val="24"/>
          <w:lang w:eastAsia="en-ZA"/>
        </w:rPr>
        <w:t>s</w:t>
      </w:r>
      <w:r w:rsidRPr="00A54B56">
        <w:rPr>
          <w:rFonts w:ascii="Arial" w:eastAsia="Calibri" w:hAnsi="Arial" w:cs="Arial"/>
          <w:color w:val="000000"/>
          <w:sz w:val="24"/>
          <w:szCs w:val="24"/>
          <w:lang w:eastAsia="en-ZA"/>
        </w:rPr>
        <w:t xml:space="preserve"> to</w:t>
      </w:r>
      <w:r w:rsidR="005C1C5C" w:rsidRPr="00A54B56">
        <w:rPr>
          <w:rFonts w:ascii="Arial" w:eastAsia="Calibri" w:hAnsi="Arial" w:cs="Arial"/>
          <w:color w:val="000000"/>
          <w:sz w:val="24"/>
          <w:szCs w:val="24"/>
          <w:lang w:eastAsia="en-ZA"/>
        </w:rPr>
        <w:t xml:space="preserve"> </w:t>
      </w:r>
      <w:r>
        <w:rPr>
          <w:rFonts w:ascii="Arial" w:eastAsia="Calibri" w:hAnsi="Arial" w:cs="Arial"/>
          <w:color w:val="000000"/>
          <w:sz w:val="24"/>
          <w:szCs w:val="24"/>
          <w:lang w:eastAsia="en-ZA"/>
        </w:rPr>
        <w:t xml:space="preserve">R252 million per annum, based on audited annual </w:t>
      </w:r>
      <w:r w:rsidR="005C1C5C" w:rsidRPr="00A54B56">
        <w:rPr>
          <w:rFonts w:ascii="Arial" w:eastAsia="Calibri" w:hAnsi="Arial" w:cs="Arial"/>
          <w:color w:val="000000"/>
          <w:sz w:val="24"/>
          <w:szCs w:val="24"/>
          <w:lang w:eastAsia="en-ZA"/>
        </w:rPr>
        <w:t xml:space="preserve">  </w:t>
      </w:r>
      <w:r>
        <w:rPr>
          <w:rFonts w:ascii="Arial" w:eastAsia="Calibri" w:hAnsi="Arial" w:cs="Arial"/>
          <w:color w:val="000000"/>
          <w:sz w:val="24"/>
          <w:szCs w:val="24"/>
          <w:lang w:eastAsia="en-ZA"/>
        </w:rPr>
        <w:t>financial statements for the year ending 31 March 2017. The company generates annual revenue of R1.2 billion mainly from broadcasting services provided using satellite solution.</w:t>
      </w:r>
    </w:p>
    <w:p w:rsidR="00A54B56" w:rsidRPr="00C33338" w:rsidRDefault="00A54B56" w:rsidP="00C33338">
      <w:pPr>
        <w:numPr>
          <w:ilvl w:val="0"/>
          <w:numId w:val="41"/>
        </w:numPr>
        <w:ind w:left="567" w:hanging="567"/>
        <w:jc w:val="both"/>
        <w:rPr>
          <w:rFonts w:ascii="Arial" w:hAnsi="Arial" w:cs="Arial"/>
          <w:sz w:val="24"/>
          <w:szCs w:val="24"/>
        </w:rPr>
      </w:pPr>
      <w:r>
        <w:rPr>
          <w:rFonts w:ascii="Arial" w:eastAsia="Calibri" w:hAnsi="Arial" w:cs="Arial"/>
          <w:color w:val="000000"/>
          <w:sz w:val="24"/>
          <w:szCs w:val="24"/>
          <w:lang w:eastAsia="en-ZA"/>
        </w:rPr>
        <w:lastRenderedPageBreak/>
        <w:t>Intelsat’s involvement is only limited to providing the capacity and monitoring the respective satellites that provide signal distribution and for broadband services. Intelsat is expected to supply the satellite capacity as contracted, at the defined service level.</w:t>
      </w:r>
    </w:p>
    <w:p w:rsidR="00C33338" w:rsidRPr="00A54B56" w:rsidRDefault="00C33338" w:rsidP="00C33338">
      <w:pPr>
        <w:ind w:left="567" w:hanging="567"/>
        <w:jc w:val="both"/>
        <w:rPr>
          <w:rFonts w:ascii="Arial" w:hAnsi="Arial" w:cs="Arial"/>
          <w:sz w:val="24"/>
          <w:szCs w:val="24"/>
        </w:rPr>
      </w:pPr>
    </w:p>
    <w:p w:rsidR="00A54B56" w:rsidRDefault="009B0071" w:rsidP="00C33338">
      <w:pPr>
        <w:numPr>
          <w:ilvl w:val="0"/>
          <w:numId w:val="41"/>
        </w:numPr>
        <w:ind w:left="567" w:hanging="567"/>
        <w:jc w:val="both"/>
        <w:rPr>
          <w:rFonts w:ascii="Arial" w:hAnsi="Arial" w:cs="Arial"/>
          <w:sz w:val="24"/>
          <w:szCs w:val="24"/>
        </w:rPr>
      </w:pPr>
      <w:r>
        <w:rPr>
          <w:rFonts w:ascii="Arial" w:hAnsi="Arial" w:cs="Arial"/>
          <w:sz w:val="24"/>
          <w:szCs w:val="24"/>
        </w:rPr>
        <w:t>Sentech spends approximately R250 million annually.</w:t>
      </w:r>
    </w:p>
    <w:p w:rsidR="00C33338" w:rsidRDefault="00C33338" w:rsidP="00C33338">
      <w:pPr>
        <w:pStyle w:val="ListParagraph"/>
        <w:ind w:left="567" w:hanging="567"/>
        <w:rPr>
          <w:rFonts w:ascii="Arial" w:hAnsi="Arial" w:cs="Arial"/>
          <w:szCs w:val="24"/>
        </w:rPr>
      </w:pPr>
    </w:p>
    <w:p w:rsidR="009B0071" w:rsidRDefault="009B0071" w:rsidP="00C33338">
      <w:pPr>
        <w:numPr>
          <w:ilvl w:val="0"/>
          <w:numId w:val="41"/>
        </w:numPr>
        <w:ind w:left="567" w:hanging="567"/>
        <w:jc w:val="both"/>
        <w:rPr>
          <w:rFonts w:ascii="Arial" w:hAnsi="Arial" w:cs="Arial"/>
          <w:sz w:val="24"/>
          <w:szCs w:val="24"/>
        </w:rPr>
      </w:pPr>
      <w:r>
        <w:rPr>
          <w:rFonts w:ascii="Arial" w:hAnsi="Arial" w:cs="Arial"/>
          <w:sz w:val="24"/>
          <w:szCs w:val="24"/>
        </w:rPr>
        <w:t>Yes, these are valid contracts that have been concluded through the procurement process in compliance with the PFMA and the relevant Treasury Regulations.</w:t>
      </w:r>
    </w:p>
    <w:sectPr w:rsidR="009B0071"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6F" w:rsidRDefault="0073316F">
      <w:r>
        <w:separator/>
      </w:r>
    </w:p>
  </w:endnote>
  <w:endnote w:type="continuationSeparator" w:id="0">
    <w:p w:rsidR="0073316F" w:rsidRDefault="0073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6F" w:rsidRDefault="0073316F">
      <w:r>
        <w:separator/>
      </w:r>
    </w:p>
  </w:footnote>
  <w:footnote w:type="continuationSeparator" w:id="0">
    <w:p w:rsidR="0073316F" w:rsidRDefault="0073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2B10DD9"/>
    <w:multiLevelType w:val="hybridMultilevel"/>
    <w:tmpl w:val="65F60C38"/>
    <w:lvl w:ilvl="0" w:tplc="2F984CA2">
      <w:start w:val="1"/>
      <w:numFmt w:val="lowerLetter"/>
      <w:lvlText w:val="(%1)"/>
      <w:lvlJc w:val="left"/>
      <w:pPr>
        <w:ind w:left="55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80B3B60"/>
    <w:multiLevelType w:val="hybridMultilevel"/>
    <w:tmpl w:val="B120C4E2"/>
    <w:lvl w:ilvl="0" w:tplc="8AC896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3">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4"/>
  </w:num>
  <w:num w:numId="3">
    <w:abstractNumId w:val="20"/>
  </w:num>
  <w:num w:numId="4">
    <w:abstractNumId w:val="5"/>
  </w:num>
  <w:num w:numId="5">
    <w:abstractNumId w:val="28"/>
  </w:num>
  <w:num w:numId="6">
    <w:abstractNumId w:val="1"/>
  </w:num>
  <w:num w:numId="7">
    <w:abstractNumId w:val="40"/>
  </w:num>
  <w:num w:numId="8">
    <w:abstractNumId w:val="17"/>
  </w:num>
  <w:num w:numId="9">
    <w:abstractNumId w:val="24"/>
  </w:num>
  <w:num w:numId="10">
    <w:abstractNumId w:val="11"/>
  </w:num>
  <w:num w:numId="11">
    <w:abstractNumId w:val="18"/>
  </w:num>
  <w:num w:numId="12">
    <w:abstractNumId w:val="3"/>
  </w:num>
  <w:num w:numId="13">
    <w:abstractNumId w:val="13"/>
  </w:num>
  <w:num w:numId="14">
    <w:abstractNumId w:val="38"/>
  </w:num>
  <w:num w:numId="15">
    <w:abstractNumId w:val="7"/>
  </w:num>
  <w:num w:numId="16">
    <w:abstractNumId w:val="36"/>
  </w:num>
  <w:num w:numId="17">
    <w:abstractNumId w:val="37"/>
  </w:num>
  <w:num w:numId="18">
    <w:abstractNumId w:val="26"/>
  </w:num>
  <w:num w:numId="19">
    <w:abstractNumId w:val="23"/>
  </w:num>
  <w:num w:numId="20">
    <w:abstractNumId w:val="25"/>
  </w:num>
  <w:num w:numId="21">
    <w:abstractNumId w:val="27"/>
  </w:num>
  <w:num w:numId="22">
    <w:abstractNumId w:val="31"/>
  </w:num>
  <w:num w:numId="23">
    <w:abstractNumId w:val="4"/>
  </w:num>
  <w:num w:numId="24">
    <w:abstractNumId w:val="12"/>
  </w:num>
  <w:num w:numId="25">
    <w:abstractNumId w:val="39"/>
  </w:num>
  <w:num w:numId="26">
    <w:abstractNumId w:val="21"/>
  </w:num>
  <w:num w:numId="27">
    <w:abstractNumId w:val="2"/>
  </w:num>
  <w:num w:numId="28">
    <w:abstractNumId w:val="30"/>
  </w:num>
  <w:num w:numId="29">
    <w:abstractNumId w:val="0"/>
  </w:num>
  <w:num w:numId="30">
    <w:abstractNumId w:val="15"/>
  </w:num>
  <w:num w:numId="31">
    <w:abstractNumId w:val="8"/>
  </w:num>
  <w:num w:numId="32">
    <w:abstractNumId w:val="33"/>
  </w:num>
  <w:num w:numId="33">
    <w:abstractNumId w:val="14"/>
  </w:num>
  <w:num w:numId="34">
    <w:abstractNumId w:val="6"/>
  </w:num>
  <w:num w:numId="35">
    <w:abstractNumId w:val="35"/>
  </w:num>
  <w:num w:numId="36">
    <w:abstractNumId w:val="9"/>
  </w:num>
  <w:num w:numId="37">
    <w:abstractNumId w:val="22"/>
  </w:num>
  <w:num w:numId="38">
    <w:abstractNumId w:val="16"/>
  </w:num>
  <w:num w:numId="39">
    <w:abstractNumId w:val="19"/>
  </w:num>
  <w:num w:numId="40">
    <w:abstractNumId w:val="1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1D7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B51"/>
    <w:rsid w:val="001A65F7"/>
    <w:rsid w:val="001B427A"/>
    <w:rsid w:val="001B6272"/>
    <w:rsid w:val="001C0B3A"/>
    <w:rsid w:val="001C1AEF"/>
    <w:rsid w:val="001C722C"/>
    <w:rsid w:val="001C7AD4"/>
    <w:rsid w:val="001D5342"/>
    <w:rsid w:val="001D7389"/>
    <w:rsid w:val="001F3E80"/>
    <w:rsid w:val="00202885"/>
    <w:rsid w:val="002055F9"/>
    <w:rsid w:val="0020747B"/>
    <w:rsid w:val="00207C1A"/>
    <w:rsid w:val="00211547"/>
    <w:rsid w:val="00214E46"/>
    <w:rsid w:val="00221695"/>
    <w:rsid w:val="00237BF7"/>
    <w:rsid w:val="00245701"/>
    <w:rsid w:val="00254101"/>
    <w:rsid w:val="0025657E"/>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273"/>
    <w:rsid w:val="0032060C"/>
    <w:rsid w:val="00322095"/>
    <w:rsid w:val="0032278F"/>
    <w:rsid w:val="00340B8C"/>
    <w:rsid w:val="00342236"/>
    <w:rsid w:val="00342D4A"/>
    <w:rsid w:val="00352C0F"/>
    <w:rsid w:val="0035510E"/>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E7C7C"/>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80E98"/>
    <w:rsid w:val="005853AF"/>
    <w:rsid w:val="00585B41"/>
    <w:rsid w:val="0058745C"/>
    <w:rsid w:val="00594AD1"/>
    <w:rsid w:val="005A16DC"/>
    <w:rsid w:val="005A3B8A"/>
    <w:rsid w:val="005A5F82"/>
    <w:rsid w:val="005B0466"/>
    <w:rsid w:val="005B084C"/>
    <w:rsid w:val="005B17D5"/>
    <w:rsid w:val="005B5B32"/>
    <w:rsid w:val="005B5E37"/>
    <w:rsid w:val="005C1C5C"/>
    <w:rsid w:val="005E38EA"/>
    <w:rsid w:val="005E4B32"/>
    <w:rsid w:val="005F07FA"/>
    <w:rsid w:val="005F1B60"/>
    <w:rsid w:val="005F53FF"/>
    <w:rsid w:val="005F5B4B"/>
    <w:rsid w:val="005F63C2"/>
    <w:rsid w:val="005F65D4"/>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3316F"/>
    <w:rsid w:val="007401A4"/>
    <w:rsid w:val="007411B5"/>
    <w:rsid w:val="007443CA"/>
    <w:rsid w:val="00744929"/>
    <w:rsid w:val="00744B3F"/>
    <w:rsid w:val="00746444"/>
    <w:rsid w:val="007504EF"/>
    <w:rsid w:val="00751BC1"/>
    <w:rsid w:val="00757910"/>
    <w:rsid w:val="00760307"/>
    <w:rsid w:val="00763191"/>
    <w:rsid w:val="0076504C"/>
    <w:rsid w:val="00765CA7"/>
    <w:rsid w:val="00775C7F"/>
    <w:rsid w:val="00781603"/>
    <w:rsid w:val="00782779"/>
    <w:rsid w:val="007911FD"/>
    <w:rsid w:val="00792C5E"/>
    <w:rsid w:val="0079391F"/>
    <w:rsid w:val="00794384"/>
    <w:rsid w:val="007947A7"/>
    <w:rsid w:val="007A4D53"/>
    <w:rsid w:val="007B0C45"/>
    <w:rsid w:val="007B3CA2"/>
    <w:rsid w:val="007B46C2"/>
    <w:rsid w:val="007C5C0F"/>
    <w:rsid w:val="007C681A"/>
    <w:rsid w:val="007C69E4"/>
    <w:rsid w:val="007C6FA1"/>
    <w:rsid w:val="007D7344"/>
    <w:rsid w:val="007E403C"/>
    <w:rsid w:val="007E64A8"/>
    <w:rsid w:val="00801B08"/>
    <w:rsid w:val="008130F3"/>
    <w:rsid w:val="00822FA5"/>
    <w:rsid w:val="0083450B"/>
    <w:rsid w:val="00836E2C"/>
    <w:rsid w:val="008467E6"/>
    <w:rsid w:val="00846861"/>
    <w:rsid w:val="0085168E"/>
    <w:rsid w:val="00872159"/>
    <w:rsid w:val="0087270B"/>
    <w:rsid w:val="0087359F"/>
    <w:rsid w:val="008749C6"/>
    <w:rsid w:val="00884000"/>
    <w:rsid w:val="008844AE"/>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3C54"/>
    <w:rsid w:val="009B0071"/>
    <w:rsid w:val="009B7B70"/>
    <w:rsid w:val="009C265C"/>
    <w:rsid w:val="009C5A3F"/>
    <w:rsid w:val="009C662E"/>
    <w:rsid w:val="009D379F"/>
    <w:rsid w:val="009D5279"/>
    <w:rsid w:val="009D673A"/>
    <w:rsid w:val="009E0E61"/>
    <w:rsid w:val="009E736C"/>
    <w:rsid w:val="009F7692"/>
    <w:rsid w:val="00A03C58"/>
    <w:rsid w:val="00A12E51"/>
    <w:rsid w:val="00A20479"/>
    <w:rsid w:val="00A23D3D"/>
    <w:rsid w:val="00A25727"/>
    <w:rsid w:val="00A321C2"/>
    <w:rsid w:val="00A348BA"/>
    <w:rsid w:val="00A35472"/>
    <w:rsid w:val="00A3686A"/>
    <w:rsid w:val="00A40C84"/>
    <w:rsid w:val="00A42190"/>
    <w:rsid w:val="00A44383"/>
    <w:rsid w:val="00A46BE9"/>
    <w:rsid w:val="00A47652"/>
    <w:rsid w:val="00A54B56"/>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725E"/>
    <w:rsid w:val="00BA452E"/>
    <w:rsid w:val="00BA5DAE"/>
    <w:rsid w:val="00BC416D"/>
    <w:rsid w:val="00BC56F0"/>
    <w:rsid w:val="00BC6EB4"/>
    <w:rsid w:val="00BD3607"/>
    <w:rsid w:val="00BE00C0"/>
    <w:rsid w:val="00BE2FC2"/>
    <w:rsid w:val="00BE41AF"/>
    <w:rsid w:val="00BE7E1A"/>
    <w:rsid w:val="00BF60F1"/>
    <w:rsid w:val="00C03670"/>
    <w:rsid w:val="00C04BEE"/>
    <w:rsid w:val="00C14396"/>
    <w:rsid w:val="00C26DD8"/>
    <w:rsid w:val="00C3333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66C3"/>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3DBF"/>
    <w:rsid w:val="00D47D19"/>
    <w:rsid w:val="00D56E2E"/>
    <w:rsid w:val="00D630BD"/>
    <w:rsid w:val="00D63F47"/>
    <w:rsid w:val="00D73E10"/>
    <w:rsid w:val="00D740EE"/>
    <w:rsid w:val="00D75899"/>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7E1"/>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C20F7"/>
    <w:rsid w:val="00FD2890"/>
    <w:rsid w:val="00FD39B1"/>
    <w:rsid w:val="00FE607A"/>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897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2018-04-12T13:00:00Z</cp:lastPrinted>
  <dcterms:created xsi:type="dcterms:W3CDTF">2018-05-04T10:49:00Z</dcterms:created>
  <dcterms:modified xsi:type="dcterms:W3CDTF">2018-05-04T10:49:00Z</dcterms:modified>
</cp:coreProperties>
</file>