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B4" w:rsidRPr="00776733" w:rsidRDefault="008017B4" w:rsidP="008017B4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76733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F40E17" w:rsidRPr="00776733" w:rsidRDefault="00F40E17" w:rsidP="00F40E17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6733">
        <w:rPr>
          <w:rFonts w:ascii="Arial" w:hAnsi="Arial" w:cs="Arial"/>
          <w:b/>
          <w:sz w:val="24"/>
          <w:szCs w:val="24"/>
        </w:rPr>
        <w:t>NATIONAL ASSEMBLY</w:t>
      </w:r>
    </w:p>
    <w:p w:rsidR="00F40E17" w:rsidRPr="00776733" w:rsidRDefault="00F40E17" w:rsidP="00F40E17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6733">
        <w:rPr>
          <w:rFonts w:ascii="Arial" w:hAnsi="Arial" w:cs="Arial"/>
          <w:b/>
          <w:sz w:val="24"/>
          <w:szCs w:val="24"/>
        </w:rPr>
        <w:t>WRITTEN REPLY</w:t>
      </w:r>
    </w:p>
    <w:p w:rsidR="00F40E17" w:rsidRPr="00776733" w:rsidRDefault="00F40E17" w:rsidP="00F40E1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682B1C" w:rsidRPr="00682B1C" w:rsidRDefault="00682B1C" w:rsidP="00682B1C">
      <w:pPr>
        <w:outlineLvl w:val="0"/>
        <w:rPr>
          <w:rFonts w:ascii="Arial" w:hAnsi="Arial" w:cs="Arial"/>
          <w:b/>
          <w:sz w:val="24"/>
          <w:szCs w:val="24"/>
        </w:rPr>
      </w:pPr>
      <w:r w:rsidRPr="00682B1C">
        <w:rPr>
          <w:rFonts w:ascii="Arial" w:hAnsi="Arial" w:cs="Arial"/>
          <w:b/>
          <w:sz w:val="24"/>
          <w:szCs w:val="24"/>
        </w:rPr>
        <w:t>QUESTION NO:  81</w:t>
      </w:r>
      <w:r w:rsidR="008759D4">
        <w:rPr>
          <w:rFonts w:ascii="Arial" w:hAnsi="Arial" w:cs="Arial"/>
          <w:b/>
          <w:sz w:val="24"/>
          <w:szCs w:val="24"/>
        </w:rPr>
        <w:t>7</w:t>
      </w:r>
      <w:r w:rsidRPr="00682B1C">
        <w:rPr>
          <w:rFonts w:ascii="Arial" w:hAnsi="Arial" w:cs="Arial"/>
          <w:b/>
          <w:sz w:val="24"/>
          <w:szCs w:val="24"/>
        </w:rPr>
        <w:tab/>
      </w:r>
    </w:p>
    <w:p w:rsidR="00682B1C" w:rsidRPr="00682B1C" w:rsidRDefault="00682B1C" w:rsidP="00682B1C">
      <w:pPr>
        <w:rPr>
          <w:rFonts w:ascii="Arial" w:hAnsi="Arial" w:cs="Arial"/>
          <w:b/>
          <w:sz w:val="24"/>
          <w:szCs w:val="24"/>
        </w:rPr>
      </w:pPr>
    </w:p>
    <w:p w:rsidR="00682B1C" w:rsidRPr="00682B1C" w:rsidRDefault="00682B1C" w:rsidP="00682B1C">
      <w:pPr>
        <w:outlineLvl w:val="0"/>
        <w:rPr>
          <w:rFonts w:ascii="Arial" w:hAnsi="Arial" w:cs="Arial"/>
          <w:b/>
          <w:sz w:val="24"/>
          <w:szCs w:val="24"/>
        </w:rPr>
      </w:pPr>
      <w:r w:rsidRPr="00682B1C">
        <w:rPr>
          <w:rFonts w:ascii="Arial" w:hAnsi="Arial" w:cs="Arial"/>
          <w:b/>
          <w:sz w:val="24"/>
          <w:szCs w:val="24"/>
        </w:rPr>
        <w:t>DATE OF PUBLICATION:</w:t>
      </w:r>
      <w:r w:rsidRPr="00682B1C">
        <w:rPr>
          <w:rFonts w:ascii="Arial" w:hAnsi="Arial" w:cs="Arial"/>
          <w:b/>
          <w:sz w:val="24"/>
          <w:szCs w:val="24"/>
        </w:rPr>
        <w:tab/>
      </w:r>
      <w:r w:rsidR="00B6598E">
        <w:rPr>
          <w:rFonts w:ascii="Arial" w:hAnsi="Arial" w:cs="Arial"/>
          <w:b/>
          <w:sz w:val="24"/>
          <w:szCs w:val="24"/>
        </w:rPr>
        <w:t>16 MARCH 2018</w:t>
      </w:r>
    </w:p>
    <w:p w:rsidR="00682B1C" w:rsidRPr="00682B1C" w:rsidRDefault="00682B1C" w:rsidP="00682B1C">
      <w:pPr>
        <w:outlineLvl w:val="0"/>
        <w:rPr>
          <w:rFonts w:ascii="Arial" w:hAnsi="Arial" w:cs="Arial"/>
          <w:b/>
          <w:sz w:val="24"/>
          <w:szCs w:val="24"/>
        </w:rPr>
      </w:pPr>
    </w:p>
    <w:p w:rsidR="00682B1C" w:rsidRPr="00682B1C" w:rsidRDefault="00682B1C" w:rsidP="00682B1C">
      <w:pPr>
        <w:outlineLvl w:val="0"/>
        <w:rPr>
          <w:rFonts w:ascii="Arial" w:hAnsi="Arial" w:cs="Arial"/>
          <w:b/>
          <w:sz w:val="24"/>
          <w:szCs w:val="24"/>
        </w:rPr>
      </w:pPr>
      <w:r w:rsidRPr="00682B1C">
        <w:rPr>
          <w:rFonts w:ascii="Arial" w:hAnsi="Arial" w:cs="Arial"/>
          <w:b/>
          <w:sz w:val="24"/>
          <w:szCs w:val="24"/>
        </w:rPr>
        <w:t>QUESTION PAPER NO:</w:t>
      </w:r>
      <w:r w:rsidR="00B6598E">
        <w:rPr>
          <w:rFonts w:ascii="Arial" w:hAnsi="Arial" w:cs="Arial"/>
          <w:b/>
          <w:sz w:val="24"/>
          <w:szCs w:val="24"/>
        </w:rPr>
        <w:t xml:space="preserve"> 08</w:t>
      </w:r>
      <w:r w:rsidRPr="00682B1C">
        <w:rPr>
          <w:rFonts w:ascii="Arial" w:hAnsi="Arial" w:cs="Arial"/>
          <w:b/>
          <w:sz w:val="24"/>
          <w:szCs w:val="24"/>
        </w:rPr>
        <w:tab/>
      </w:r>
      <w:r w:rsidRPr="00682B1C">
        <w:rPr>
          <w:rFonts w:ascii="Arial" w:hAnsi="Arial" w:cs="Arial"/>
          <w:b/>
          <w:sz w:val="24"/>
          <w:szCs w:val="24"/>
        </w:rPr>
        <w:tab/>
      </w:r>
    </w:p>
    <w:p w:rsidR="00682B1C" w:rsidRPr="00682B1C" w:rsidRDefault="00682B1C" w:rsidP="00682B1C">
      <w:pPr>
        <w:outlineLvl w:val="0"/>
        <w:rPr>
          <w:rFonts w:ascii="Arial" w:hAnsi="Arial" w:cs="Arial"/>
          <w:b/>
          <w:sz w:val="24"/>
          <w:szCs w:val="24"/>
        </w:rPr>
      </w:pPr>
    </w:p>
    <w:p w:rsidR="00682B1C" w:rsidRPr="00682B1C" w:rsidRDefault="00682B1C" w:rsidP="00682B1C">
      <w:pPr>
        <w:outlineLvl w:val="0"/>
        <w:rPr>
          <w:rFonts w:ascii="Arial" w:hAnsi="Arial" w:cs="Arial"/>
          <w:b/>
          <w:sz w:val="24"/>
          <w:szCs w:val="24"/>
        </w:rPr>
      </w:pPr>
      <w:r w:rsidRPr="00682B1C">
        <w:rPr>
          <w:rFonts w:ascii="Arial" w:hAnsi="Arial" w:cs="Arial"/>
          <w:b/>
          <w:sz w:val="24"/>
          <w:szCs w:val="24"/>
        </w:rPr>
        <w:t>DATE OF REPLY:</w:t>
      </w:r>
      <w:r w:rsidRPr="00682B1C">
        <w:rPr>
          <w:rFonts w:ascii="Arial" w:hAnsi="Arial" w:cs="Arial"/>
          <w:b/>
          <w:sz w:val="24"/>
          <w:szCs w:val="24"/>
        </w:rPr>
        <w:tab/>
      </w:r>
      <w:r w:rsidRPr="00682B1C">
        <w:rPr>
          <w:rFonts w:ascii="Arial" w:hAnsi="Arial" w:cs="Arial"/>
          <w:b/>
          <w:sz w:val="24"/>
          <w:szCs w:val="24"/>
        </w:rPr>
        <w:tab/>
      </w:r>
      <w:r w:rsidRPr="00682B1C">
        <w:rPr>
          <w:rFonts w:ascii="Arial" w:hAnsi="Arial" w:cs="Arial"/>
          <w:b/>
          <w:sz w:val="24"/>
          <w:szCs w:val="24"/>
        </w:rPr>
        <w:tab/>
      </w:r>
    </w:p>
    <w:p w:rsidR="008759D4" w:rsidRPr="008759D4" w:rsidRDefault="008759D4" w:rsidP="008759D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8759D4">
        <w:rPr>
          <w:rFonts w:ascii="Arial" w:hAnsi="Arial" w:cs="Arial"/>
          <w:b/>
          <w:noProof/>
          <w:sz w:val="24"/>
          <w:szCs w:val="24"/>
          <w:lang w:val="af-ZA"/>
        </w:rPr>
        <w:t xml:space="preserve">Mrs M R </w:t>
      </w:r>
      <w:r w:rsidRPr="008759D4">
        <w:rPr>
          <w:rFonts w:ascii="Arial" w:hAnsi="Arial" w:cs="Arial"/>
          <w:b/>
          <w:sz w:val="24"/>
          <w:szCs w:val="24"/>
          <w:lang w:val="en-US"/>
        </w:rPr>
        <w:t>Shinn</w:t>
      </w:r>
      <w:r w:rsidRPr="008759D4">
        <w:rPr>
          <w:rFonts w:ascii="Arial" w:hAnsi="Arial" w:cs="Arial"/>
          <w:b/>
          <w:noProof/>
          <w:sz w:val="24"/>
          <w:szCs w:val="24"/>
          <w:lang w:val="af-ZA"/>
        </w:rPr>
        <w:t xml:space="preserve"> (DA) to ask the Minister of Telecommunications and Postal Services:</w:t>
      </w:r>
    </w:p>
    <w:p w:rsidR="008759D4" w:rsidRDefault="008759D4" w:rsidP="008759D4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759D4">
        <w:rPr>
          <w:rFonts w:ascii="Arial" w:hAnsi="Arial" w:cs="Arial"/>
          <w:sz w:val="24"/>
          <w:szCs w:val="24"/>
        </w:rPr>
        <w:t xml:space="preserve">(a) On what date was each Deputy Director-General of his department appointed, (b) for what period was each specified person appointed, (c) what are the relevant details of each person’s (i) annual salary </w:t>
      </w:r>
      <w:r w:rsidRPr="008759D4">
        <w:rPr>
          <w:rFonts w:ascii="Arial" w:hAnsi="Arial" w:cs="Arial"/>
          <w:sz w:val="24"/>
          <w:szCs w:val="24"/>
          <w:lang w:val="en-US"/>
        </w:rPr>
        <w:t>and</w:t>
      </w:r>
      <w:r w:rsidRPr="008759D4">
        <w:rPr>
          <w:rFonts w:ascii="Arial" w:hAnsi="Arial" w:cs="Arial"/>
          <w:sz w:val="24"/>
          <w:szCs w:val="24"/>
        </w:rPr>
        <w:t xml:space="preserve"> (ii) annual bonuses paid out in each year since the appointment and (d) on what grounds were the bonuses paid in each case? </w:t>
      </w:r>
    </w:p>
    <w:p w:rsidR="008759D4" w:rsidRPr="008759D4" w:rsidRDefault="008759D4" w:rsidP="008759D4">
      <w:pPr>
        <w:tabs>
          <w:tab w:val="left" w:pos="432"/>
          <w:tab w:val="left" w:pos="720"/>
        </w:tabs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8759D4">
        <w:rPr>
          <w:rFonts w:ascii="Arial" w:hAnsi="Arial" w:cs="Arial"/>
          <w:noProof/>
          <w:sz w:val="24"/>
          <w:szCs w:val="24"/>
          <w:lang w:val="af-ZA"/>
        </w:rPr>
        <w:t>NW902E</w:t>
      </w:r>
    </w:p>
    <w:p w:rsidR="00B6598E" w:rsidRDefault="00B6598E" w:rsidP="00B6598E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REPLY:</w:t>
      </w:r>
    </w:p>
    <w:p w:rsidR="00DF5166" w:rsidRDefault="00DF5166" w:rsidP="00B6598E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</w:p>
    <w:p w:rsidR="00DF5166" w:rsidRDefault="00DF5166" w:rsidP="00B6598E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(b)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ab/>
      </w:r>
      <w:r w:rsidRPr="008D7169">
        <w:rPr>
          <w:rFonts w:ascii="Arial" w:eastAsia="Calibri" w:hAnsi="Arial" w:cs="Arial"/>
          <w:color w:val="000000"/>
          <w:sz w:val="24"/>
          <w:szCs w:val="24"/>
          <w:lang w:eastAsia="en-ZA"/>
        </w:rPr>
        <w:t>All D</w:t>
      </w:r>
      <w:r w:rsidR="00D02C3D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eputy </w:t>
      </w:r>
      <w:r w:rsidRPr="008D7169">
        <w:rPr>
          <w:rFonts w:ascii="Arial" w:eastAsia="Calibri" w:hAnsi="Arial" w:cs="Arial"/>
          <w:color w:val="000000"/>
          <w:sz w:val="24"/>
          <w:szCs w:val="24"/>
          <w:lang w:eastAsia="en-ZA"/>
        </w:rPr>
        <w:t>D</w:t>
      </w:r>
      <w:r w:rsidR="00D02C3D">
        <w:rPr>
          <w:rFonts w:ascii="Arial" w:eastAsia="Calibri" w:hAnsi="Arial" w:cs="Arial"/>
          <w:color w:val="000000"/>
          <w:sz w:val="24"/>
          <w:szCs w:val="24"/>
          <w:lang w:eastAsia="en-ZA"/>
        </w:rPr>
        <w:t>irectors-</w:t>
      </w:r>
      <w:r w:rsidRPr="008D7169">
        <w:rPr>
          <w:rFonts w:ascii="Arial" w:eastAsia="Calibri" w:hAnsi="Arial" w:cs="Arial"/>
          <w:color w:val="000000"/>
          <w:sz w:val="24"/>
          <w:szCs w:val="24"/>
          <w:lang w:eastAsia="en-ZA"/>
        </w:rPr>
        <w:t>G</w:t>
      </w:r>
      <w:r w:rsidR="00D02C3D">
        <w:rPr>
          <w:rFonts w:ascii="Arial" w:eastAsia="Calibri" w:hAnsi="Arial" w:cs="Arial"/>
          <w:color w:val="000000"/>
          <w:sz w:val="24"/>
          <w:szCs w:val="24"/>
          <w:lang w:eastAsia="en-ZA"/>
        </w:rPr>
        <w:t>eneral</w:t>
      </w:r>
      <w:r w:rsidRPr="008D7169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in the Department were appointed permanently.</w:t>
      </w:r>
    </w:p>
    <w:p w:rsidR="00DF5166" w:rsidRDefault="00DF5166" w:rsidP="00B6598E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</w:p>
    <w:p w:rsidR="00DF5166" w:rsidRDefault="00DF5166" w:rsidP="00B6598E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(c)(ii)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ab/>
      </w:r>
      <w:r w:rsidRPr="008D7169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No bonuses </w:t>
      </w:r>
      <w:r w:rsidR="008D7169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were </w:t>
      </w:r>
      <w:r w:rsidRPr="008D7169">
        <w:rPr>
          <w:rFonts w:ascii="Arial" w:eastAsia="Calibri" w:hAnsi="Arial" w:cs="Arial"/>
          <w:color w:val="000000"/>
          <w:sz w:val="24"/>
          <w:szCs w:val="24"/>
          <w:lang w:eastAsia="en-ZA"/>
        </w:rPr>
        <w:t>received</w:t>
      </w:r>
    </w:p>
    <w:p w:rsidR="00DF5166" w:rsidRDefault="00DF5166" w:rsidP="00B6598E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</w:p>
    <w:p w:rsidR="00DF5166" w:rsidRDefault="00DF5166" w:rsidP="00B6598E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(d)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ab/>
      </w:r>
      <w:r w:rsidRPr="008D7169">
        <w:rPr>
          <w:rFonts w:ascii="Arial" w:eastAsia="Calibri" w:hAnsi="Arial" w:cs="Arial"/>
          <w:color w:val="000000"/>
          <w:sz w:val="24"/>
          <w:szCs w:val="24"/>
          <w:lang w:eastAsia="en-ZA"/>
        </w:rPr>
        <w:t>Not applicable</w:t>
      </w:r>
    </w:p>
    <w:p w:rsidR="00DF5166" w:rsidRDefault="00DF5166" w:rsidP="00B6598E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</w:p>
    <w:p w:rsidR="00DF5166" w:rsidRDefault="00DF5166" w:rsidP="00B6598E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C3F91" w:rsidTr="00766ABC">
        <w:trPr>
          <w:trHeight w:val="383"/>
        </w:trPr>
        <w:tc>
          <w:tcPr>
            <w:tcW w:w="1915" w:type="dxa"/>
            <w:vMerge w:val="restart"/>
          </w:tcPr>
          <w:p w:rsidR="001C3F91" w:rsidRDefault="001C3F91" w:rsidP="00B6598E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8759D4">
              <w:rPr>
                <w:rFonts w:ascii="Arial" w:hAnsi="Arial" w:cs="Arial"/>
                <w:b/>
                <w:sz w:val="22"/>
                <w:szCs w:val="22"/>
              </w:rPr>
              <w:t>(a) NAME OF DDG AND DATE APPOINTED</w:t>
            </w:r>
          </w:p>
        </w:tc>
        <w:tc>
          <w:tcPr>
            <w:tcW w:w="7661" w:type="dxa"/>
            <w:gridSpan w:val="4"/>
          </w:tcPr>
          <w:p w:rsidR="001C3F91" w:rsidRDefault="001C3F91" w:rsidP="00D02C3D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(c)(i)  ANNUAL SALARY</w:t>
            </w:r>
          </w:p>
        </w:tc>
      </w:tr>
      <w:tr w:rsidR="006B563A" w:rsidTr="008D7169">
        <w:trPr>
          <w:trHeight w:val="382"/>
        </w:trPr>
        <w:tc>
          <w:tcPr>
            <w:tcW w:w="1915" w:type="dxa"/>
            <w:vMerge/>
          </w:tcPr>
          <w:p w:rsidR="001C3F91" w:rsidRPr="008759D4" w:rsidRDefault="001C3F91" w:rsidP="00B659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1C3F91" w:rsidRDefault="001C3F91" w:rsidP="00B6598E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2014</w:t>
            </w:r>
          </w:p>
        </w:tc>
        <w:tc>
          <w:tcPr>
            <w:tcW w:w="1915" w:type="dxa"/>
          </w:tcPr>
          <w:p w:rsidR="001C3F91" w:rsidRDefault="001C3F91" w:rsidP="00B6598E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2015</w:t>
            </w:r>
          </w:p>
        </w:tc>
        <w:tc>
          <w:tcPr>
            <w:tcW w:w="1915" w:type="dxa"/>
          </w:tcPr>
          <w:p w:rsidR="001C3F91" w:rsidRDefault="001C3F91" w:rsidP="00B6598E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2016</w:t>
            </w:r>
          </w:p>
        </w:tc>
        <w:tc>
          <w:tcPr>
            <w:tcW w:w="1916" w:type="dxa"/>
          </w:tcPr>
          <w:p w:rsidR="001C3F91" w:rsidRDefault="001C3F91" w:rsidP="00B6598E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2017</w:t>
            </w:r>
          </w:p>
        </w:tc>
      </w:tr>
      <w:tr w:rsidR="006B563A" w:rsidTr="008D7169">
        <w:tc>
          <w:tcPr>
            <w:tcW w:w="1915" w:type="dxa"/>
          </w:tcPr>
          <w:p w:rsidR="001C3F91" w:rsidRPr="008759D4" w:rsidRDefault="008872E3" w:rsidP="001C3F9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DDG: </w:t>
            </w:r>
            <w:r w:rsidR="006B563A">
              <w:rPr>
                <w:rFonts w:ascii="Arial" w:hAnsi="Arial" w:cs="Arial"/>
                <w:sz w:val="22"/>
                <w:szCs w:val="22"/>
              </w:rPr>
              <w:t xml:space="preserve">ICT </w:t>
            </w:r>
            <w:r>
              <w:rPr>
                <w:rFonts w:ascii="Arial" w:hAnsi="Arial" w:cs="Arial"/>
                <w:sz w:val="22"/>
                <w:szCs w:val="22"/>
              </w:rPr>
              <w:t>Infrastructure</w:t>
            </w:r>
            <w:r w:rsidR="006B563A">
              <w:rPr>
                <w:rFonts w:ascii="Arial" w:hAnsi="Arial" w:cs="Arial"/>
                <w:sz w:val="22"/>
                <w:szCs w:val="22"/>
              </w:rPr>
              <w:t xml:space="preserve"> 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3F91" w:rsidRPr="008759D4" w:rsidRDefault="001C3F91" w:rsidP="001C3F9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1C3F91" w:rsidRDefault="001C3F91" w:rsidP="001C3F91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2014/01/06</w:t>
            </w:r>
          </w:p>
        </w:tc>
        <w:tc>
          <w:tcPr>
            <w:tcW w:w="1915" w:type="dxa"/>
          </w:tcPr>
          <w:p w:rsidR="001C3F91" w:rsidRPr="008759D4" w:rsidRDefault="001C3F91" w:rsidP="001C3F9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R1,136,910 (first notch of DDG)</w:t>
            </w:r>
          </w:p>
          <w:p w:rsidR="001C3F91" w:rsidRDefault="001C3F91" w:rsidP="001C3F91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R1,201,713 (Annual cost of living adjustment)</w:t>
            </w:r>
          </w:p>
        </w:tc>
        <w:tc>
          <w:tcPr>
            <w:tcW w:w="1915" w:type="dxa"/>
          </w:tcPr>
          <w:p w:rsidR="008D7169" w:rsidRDefault="001C3F91" w:rsidP="00B6598E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R1,267,806 (Annual cost of living adjustment)</w:t>
            </w:r>
          </w:p>
        </w:tc>
        <w:tc>
          <w:tcPr>
            <w:tcW w:w="1915" w:type="dxa"/>
          </w:tcPr>
          <w:p w:rsidR="001C3F91" w:rsidRPr="008759D4" w:rsidRDefault="001C3F91" w:rsidP="001C3F9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R1,299,501 (Annual cost of living adjustment)</w:t>
            </w:r>
          </w:p>
          <w:p w:rsidR="008D7169" w:rsidRDefault="001C3F91" w:rsidP="001C3F91">
            <w:pPr>
              <w:outlineLvl w:val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R1,318,995 (2</w:t>
            </w:r>
            <w:r w:rsidRPr="008759D4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8759D4">
              <w:rPr>
                <w:rFonts w:ascii="Arial" w:hAnsi="Arial" w:cs="Arial"/>
                <w:sz w:val="22"/>
                <w:szCs w:val="22"/>
              </w:rPr>
              <w:t xml:space="preserve"> notch of DDG due to pay progression)</w:t>
            </w:r>
          </w:p>
        </w:tc>
        <w:tc>
          <w:tcPr>
            <w:tcW w:w="1916" w:type="dxa"/>
          </w:tcPr>
          <w:p w:rsidR="001C3F91" w:rsidRPr="008759D4" w:rsidRDefault="001C3F91" w:rsidP="001C3F9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R1,391,541 (Annual cost of living adjustment)</w:t>
            </w:r>
          </w:p>
          <w:p w:rsidR="008D7169" w:rsidRDefault="001C3F91" w:rsidP="001C3F91">
            <w:pPr>
              <w:outlineLvl w:val="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R1,412,415 (3</w:t>
            </w:r>
            <w:r w:rsidRPr="008759D4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8759D4">
              <w:rPr>
                <w:rFonts w:ascii="Arial" w:hAnsi="Arial" w:cs="Arial"/>
                <w:sz w:val="22"/>
                <w:szCs w:val="22"/>
              </w:rPr>
              <w:t xml:space="preserve"> notch of DDG due to pay progression)</w:t>
            </w:r>
          </w:p>
        </w:tc>
      </w:tr>
      <w:tr w:rsidR="006B563A" w:rsidTr="008D7169">
        <w:tc>
          <w:tcPr>
            <w:tcW w:w="1915" w:type="dxa"/>
          </w:tcPr>
          <w:p w:rsidR="001C3F91" w:rsidRPr="008759D4" w:rsidRDefault="008872E3" w:rsidP="001C3F9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DDG: S</w:t>
            </w:r>
            <w:r w:rsidR="006B563A">
              <w:rPr>
                <w:rFonts w:ascii="Arial" w:hAnsi="Arial" w:cs="Arial"/>
                <w:sz w:val="22"/>
                <w:szCs w:val="22"/>
              </w:rPr>
              <w:t>OE Oversight and ICT Enterprise Development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3F91" w:rsidRPr="008759D4" w:rsidRDefault="001C3F91" w:rsidP="001C3F9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1C3F91" w:rsidRPr="008759D4" w:rsidRDefault="001C3F91" w:rsidP="001C3F9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2016/01/01</w:t>
            </w:r>
          </w:p>
          <w:p w:rsidR="008D7169" w:rsidRDefault="008D7169" w:rsidP="00B6598E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15" w:type="dxa"/>
          </w:tcPr>
          <w:p w:rsidR="008D7169" w:rsidRPr="001C3F91" w:rsidRDefault="001C3F91" w:rsidP="00B6598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1C3F91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N/A</w:t>
            </w:r>
          </w:p>
        </w:tc>
        <w:tc>
          <w:tcPr>
            <w:tcW w:w="1915" w:type="dxa"/>
          </w:tcPr>
          <w:p w:rsidR="008D7169" w:rsidRPr="001C3F91" w:rsidRDefault="001C3F91" w:rsidP="00B6598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1C3F91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N/A</w:t>
            </w:r>
          </w:p>
        </w:tc>
        <w:tc>
          <w:tcPr>
            <w:tcW w:w="1915" w:type="dxa"/>
          </w:tcPr>
          <w:p w:rsidR="008D7169" w:rsidRDefault="001C3F91" w:rsidP="00B6598E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R1,299,501 (first notch of DDG)</w:t>
            </w:r>
          </w:p>
        </w:tc>
        <w:tc>
          <w:tcPr>
            <w:tcW w:w="1916" w:type="dxa"/>
          </w:tcPr>
          <w:p w:rsidR="001C3F91" w:rsidRPr="008759D4" w:rsidRDefault="001C3F91" w:rsidP="001C3F9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R1,370,973 (Annual cost of living adjustment)</w:t>
            </w:r>
          </w:p>
          <w:p w:rsidR="008D7169" w:rsidRDefault="001C3F91" w:rsidP="001C3F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R1,391,541 (2</w:t>
            </w:r>
            <w:r w:rsidRPr="008759D4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8759D4">
              <w:rPr>
                <w:rFonts w:ascii="Arial" w:hAnsi="Arial" w:cs="Arial"/>
                <w:sz w:val="22"/>
                <w:szCs w:val="22"/>
              </w:rPr>
              <w:t xml:space="preserve"> notch of DDG due to pay progression)</w:t>
            </w:r>
          </w:p>
          <w:p w:rsidR="001C3F91" w:rsidRDefault="001C3F91" w:rsidP="001C3F91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  <w:tr w:rsidR="006B563A" w:rsidTr="008D7169">
        <w:tc>
          <w:tcPr>
            <w:tcW w:w="1915" w:type="dxa"/>
          </w:tcPr>
          <w:p w:rsidR="001C3F91" w:rsidRPr="008759D4" w:rsidRDefault="008872E3" w:rsidP="001C3F9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DDG: Administration</w:t>
            </w:r>
          </w:p>
          <w:p w:rsidR="001C3F91" w:rsidRPr="008759D4" w:rsidRDefault="001C3F91" w:rsidP="001C3F9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1C3F91" w:rsidRDefault="001C3F91" w:rsidP="001C3F91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2016/01/01</w:t>
            </w:r>
          </w:p>
        </w:tc>
        <w:tc>
          <w:tcPr>
            <w:tcW w:w="1915" w:type="dxa"/>
          </w:tcPr>
          <w:p w:rsidR="001C3F91" w:rsidRPr="001C3F91" w:rsidRDefault="001C3F91" w:rsidP="001C3F91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1C3F91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N/A</w:t>
            </w:r>
          </w:p>
        </w:tc>
        <w:tc>
          <w:tcPr>
            <w:tcW w:w="1915" w:type="dxa"/>
          </w:tcPr>
          <w:p w:rsidR="001C3F91" w:rsidRPr="001C3F91" w:rsidRDefault="001C3F91" w:rsidP="001C3F91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1C3F91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N/A</w:t>
            </w:r>
          </w:p>
        </w:tc>
        <w:tc>
          <w:tcPr>
            <w:tcW w:w="1915" w:type="dxa"/>
          </w:tcPr>
          <w:p w:rsidR="001C3F91" w:rsidRDefault="00D02C3D" w:rsidP="001C3F91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R1,299,501 (first notch of DDG)</w:t>
            </w:r>
          </w:p>
        </w:tc>
        <w:tc>
          <w:tcPr>
            <w:tcW w:w="1916" w:type="dxa"/>
          </w:tcPr>
          <w:p w:rsidR="00D02C3D" w:rsidRPr="008759D4" w:rsidRDefault="00D02C3D" w:rsidP="00D02C3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R1,370,973 (Annual cost of living adjustment)</w:t>
            </w:r>
          </w:p>
          <w:p w:rsidR="001C3F91" w:rsidRDefault="00D02C3D" w:rsidP="00D02C3D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R1,391,541 (2</w:t>
            </w:r>
            <w:r w:rsidRPr="008759D4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8759D4">
              <w:rPr>
                <w:rFonts w:ascii="Arial" w:hAnsi="Arial" w:cs="Arial"/>
                <w:sz w:val="22"/>
                <w:szCs w:val="22"/>
              </w:rPr>
              <w:t xml:space="preserve"> notch of DDG due to pay progression)</w:t>
            </w:r>
          </w:p>
        </w:tc>
      </w:tr>
      <w:tr w:rsidR="006B563A" w:rsidTr="008D7169">
        <w:tc>
          <w:tcPr>
            <w:tcW w:w="1915" w:type="dxa"/>
          </w:tcPr>
          <w:p w:rsidR="00D02C3D" w:rsidRPr="008759D4" w:rsidRDefault="008872E3" w:rsidP="00D02C3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DDG: </w:t>
            </w:r>
            <w:r w:rsidR="006B563A">
              <w:rPr>
                <w:rFonts w:ascii="Arial" w:hAnsi="Arial" w:cs="Arial"/>
                <w:sz w:val="22"/>
                <w:szCs w:val="22"/>
              </w:rPr>
              <w:t>ICT I</w:t>
            </w:r>
            <w:r>
              <w:rPr>
                <w:rFonts w:ascii="Arial" w:hAnsi="Arial" w:cs="Arial"/>
                <w:sz w:val="22"/>
                <w:szCs w:val="22"/>
              </w:rPr>
              <w:t xml:space="preserve">nternational </w:t>
            </w:r>
            <w:r w:rsidR="006B563A">
              <w:rPr>
                <w:rFonts w:ascii="Arial" w:hAnsi="Arial" w:cs="Arial"/>
                <w:sz w:val="22"/>
                <w:szCs w:val="22"/>
              </w:rPr>
              <w:t>Affairs and Trade</w:t>
            </w:r>
          </w:p>
          <w:p w:rsidR="00D02C3D" w:rsidRPr="008759D4" w:rsidRDefault="00D02C3D" w:rsidP="00D02C3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D02C3D" w:rsidRDefault="00D02C3D" w:rsidP="00D02C3D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2017/08/15</w:t>
            </w:r>
          </w:p>
        </w:tc>
        <w:tc>
          <w:tcPr>
            <w:tcW w:w="1915" w:type="dxa"/>
          </w:tcPr>
          <w:p w:rsidR="00D02C3D" w:rsidRPr="001C3F91" w:rsidRDefault="00D02C3D" w:rsidP="00D02C3D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1C3F91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N/A</w:t>
            </w:r>
          </w:p>
        </w:tc>
        <w:tc>
          <w:tcPr>
            <w:tcW w:w="1915" w:type="dxa"/>
          </w:tcPr>
          <w:p w:rsidR="00D02C3D" w:rsidRPr="001C3F91" w:rsidRDefault="00D02C3D" w:rsidP="00D02C3D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1C3F91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N/A</w:t>
            </w:r>
          </w:p>
        </w:tc>
        <w:tc>
          <w:tcPr>
            <w:tcW w:w="1915" w:type="dxa"/>
          </w:tcPr>
          <w:p w:rsidR="00D02C3D" w:rsidRPr="001C3F91" w:rsidRDefault="00D02C3D" w:rsidP="00D02C3D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1C3F91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N/A</w:t>
            </w:r>
          </w:p>
        </w:tc>
        <w:tc>
          <w:tcPr>
            <w:tcW w:w="1916" w:type="dxa"/>
          </w:tcPr>
          <w:p w:rsidR="00D02C3D" w:rsidRDefault="00D02C3D" w:rsidP="00D02C3D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8759D4">
              <w:rPr>
                <w:rFonts w:ascii="Arial" w:hAnsi="Arial" w:cs="Arial"/>
                <w:sz w:val="22"/>
                <w:szCs w:val="22"/>
              </w:rPr>
              <w:t>R1,370,973 (first notch of DDG)</w:t>
            </w:r>
          </w:p>
        </w:tc>
      </w:tr>
    </w:tbl>
    <w:p w:rsidR="008759D4" w:rsidRPr="008759D4" w:rsidRDefault="008759D4" w:rsidP="008759D4">
      <w:pPr>
        <w:outlineLvl w:val="0"/>
        <w:rPr>
          <w:rFonts w:ascii="Arial" w:hAnsi="Arial" w:cs="Arial"/>
          <w:sz w:val="22"/>
          <w:szCs w:val="22"/>
        </w:rPr>
      </w:pPr>
    </w:p>
    <w:p w:rsidR="00C721F4" w:rsidRDefault="00E701BC"/>
    <w:sectPr w:rsidR="00C721F4" w:rsidSect="00B6598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0481"/>
    <w:multiLevelType w:val="hybridMultilevel"/>
    <w:tmpl w:val="7EF0431A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9F524F"/>
    <w:multiLevelType w:val="hybridMultilevel"/>
    <w:tmpl w:val="232A433A"/>
    <w:lvl w:ilvl="0" w:tplc="A1FCA7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94566"/>
    <w:multiLevelType w:val="hybridMultilevel"/>
    <w:tmpl w:val="228464FE"/>
    <w:lvl w:ilvl="0" w:tplc="2A60084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EC0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4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4C7B43FF"/>
    <w:multiLevelType w:val="hybridMultilevel"/>
    <w:tmpl w:val="20445338"/>
    <w:lvl w:ilvl="0" w:tplc="587A9B6C">
      <w:start w:val="9"/>
      <w:numFmt w:val="lowerLetter"/>
      <w:lvlText w:val="(%1)"/>
      <w:lvlJc w:val="left"/>
      <w:pPr>
        <w:ind w:left="31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2" w:hanging="360"/>
      </w:pPr>
    </w:lvl>
    <w:lvl w:ilvl="2" w:tplc="0809001B" w:tentative="1">
      <w:start w:val="1"/>
      <w:numFmt w:val="lowerRoman"/>
      <w:lvlText w:val="%3."/>
      <w:lvlJc w:val="right"/>
      <w:pPr>
        <w:ind w:left="4572" w:hanging="180"/>
      </w:pPr>
    </w:lvl>
    <w:lvl w:ilvl="3" w:tplc="0809000F" w:tentative="1">
      <w:start w:val="1"/>
      <w:numFmt w:val="decimal"/>
      <w:lvlText w:val="%4."/>
      <w:lvlJc w:val="left"/>
      <w:pPr>
        <w:ind w:left="5292" w:hanging="360"/>
      </w:pPr>
    </w:lvl>
    <w:lvl w:ilvl="4" w:tplc="08090019" w:tentative="1">
      <w:start w:val="1"/>
      <w:numFmt w:val="lowerLetter"/>
      <w:lvlText w:val="%5."/>
      <w:lvlJc w:val="left"/>
      <w:pPr>
        <w:ind w:left="6012" w:hanging="360"/>
      </w:pPr>
    </w:lvl>
    <w:lvl w:ilvl="5" w:tplc="0809001B" w:tentative="1">
      <w:start w:val="1"/>
      <w:numFmt w:val="lowerRoman"/>
      <w:lvlText w:val="%6."/>
      <w:lvlJc w:val="right"/>
      <w:pPr>
        <w:ind w:left="6732" w:hanging="180"/>
      </w:pPr>
    </w:lvl>
    <w:lvl w:ilvl="6" w:tplc="0809000F" w:tentative="1">
      <w:start w:val="1"/>
      <w:numFmt w:val="decimal"/>
      <w:lvlText w:val="%7."/>
      <w:lvlJc w:val="left"/>
      <w:pPr>
        <w:ind w:left="7452" w:hanging="360"/>
      </w:pPr>
    </w:lvl>
    <w:lvl w:ilvl="7" w:tplc="08090019" w:tentative="1">
      <w:start w:val="1"/>
      <w:numFmt w:val="lowerLetter"/>
      <w:lvlText w:val="%8."/>
      <w:lvlJc w:val="left"/>
      <w:pPr>
        <w:ind w:left="8172" w:hanging="360"/>
      </w:pPr>
    </w:lvl>
    <w:lvl w:ilvl="8" w:tplc="08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5" w15:restartNumberingAfterBreak="0">
    <w:nsid w:val="4D434A39"/>
    <w:multiLevelType w:val="hybridMultilevel"/>
    <w:tmpl w:val="564C36CA"/>
    <w:lvl w:ilvl="0" w:tplc="EB108CC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B58517E"/>
    <w:multiLevelType w:val="hybridMultilevel"/>
    <w:tmpl w:val="8F505D02"/>
    <w:lvl w:ilvl="0" w:tplc="FD1CD1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7"/>
    <w:rsid w:val="0017629A"/>
    <w:rsid w:val="001C3F91"/>
    <w:rsid w:val="002D3D37"/>
    <w:rsid w:val="005F5D9A"/>
    <w:rsid w:val="00682B1C"/>
    <w:rsid w:val="006B563A"/>
    <w:rsid w:val="00776733"/>
    <w:rsid w:val="008017B4"/>
    <w:rsid w:val="008759D4"/>
    <w:rsid w:val="008872E3"/>
    <w:rsid w:val="008D7169"/>
    <w:rsid w:val="00936A6D"/>
    <w:rsid w:val="0095656D"/>
    <w:rsid w:val="00A66A4C"/>
    <w:rsid w:val="00B6598E"/>
    <w:rsid w:val="00BB5BF4"/>
    <w:rsid w:val="00D02C3D"/>
    <w:rsid w:val="00D12080"/>
    <w:rsid w:val="00DF5166"/>
    <w:rsid w:val="00E21B90"/>
    <w:rsid w:val="00E701BC"/>
    <w:rsid w:val="00F40E17"/>
    <w:rsid w:val="00F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B72F1-B959-40C2-8264-03085EE2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9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76733"/>
    <w:pPr>
      <w:ind w:left="720"/>
      <w:contextualSpacing/>
    </w:pPr>
  </w:style>
  <w:style w:type="table" w:styleId="TableGrid">
    <w:name w:val="Table Grid"/>
    <w:basedOn w:val="TableNormal"/>
    <w:uiPriority w:val="39"/>
    <w:rsid w:val="00B6598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 Leshaba</dc:creator>
  <cp:lastModifiedBy>Siyabulela Qoza</cp:lastModifiedBy>
  <cp:revision>2</cp:revision>
  <cp:lastPrinted>2018-04-17T15:12:00Z</cp:lastPrinted>
  <dcterms:created xsi:type="dcterms:W3CDTF">2018-04-19T08:37:00Z</dcterms:created>
  <dcterms:modified xsi:type="dcterms:W3CDTF">2018-04-19T08:37:00Z</dcterms:modified>
</cp:coreProperties>
</file>