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B4" w:rsidRPr="00776733" w:rsidRDefault="008017B4" w:rsidP="008017B4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NATIONAL ASSEMBLY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WRITTEN REPLY</w:t>
      </w:r>
    </w:p>
    <w:p w:rsidR="00F40E17" w:rsidRPr="00776733" w:rsidRDefault="00F40E17" w:rsidP="00725B2A">
      <w:pPr>
        <w:tabs>
          <w:tab w:val="left" w:pos="7020"/>
        </w:tabs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QUESTION NO:  816</w:t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682B1C" w:rsidRPr="00682B1C" w:rsidRDefault="00682B1C" w:rsidP="00682B1C">
      <w:pPr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DATE OF PUBLICATION:</w:t>
      </w:r>
      <w:r w:rsidRPr="00682B1C">
        <w:rPr>
          <w:rFonts w:ascii="Arial" w:hAnsi="Arial" w:cs="Arial"/>
          <w:b/>
          <w:sz w:val="24"/>
          <w:szCs w:val="24"/>
        </w:rPr>
        <w:tab/>
      </w:r>
      <w:r w:rsidR="00B6598E">
        <w:rPr>
          <w:rFonts w:ascii="Arial" w:hAnsi="Arial" w:cs="Arial"/>
          <w:b/>
          <w:sz w:val="24"/>
          <w:szCs w:val="24"/>
        </w:rPr>
        <w:t>16 MARCH 2018</w:t>
      </w: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QUESTION PAPER NO:</w:t>
      </w:r>
      <w:r w:rsidR="00B6598E">
        <w:rPr>
          <w:rFonts w:ascii="Arial" w:hAnsi="Arial" w:cs="Arial"/>
          <w:b/>
          <w:sz w:val="24"/>
          <w:szCs w:val="24"/>
        </w:rPr>
        <w:t xml:space="preserve"> 08</w:t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</w:p>
    <w:p w:rsidR="00682B1C" w:rsidRPr="00682B1C" w:rsidRDefault="00682B1C" w:rsidP="00682B1C">
      <w:pPr>
        <w:outlineLvl w:val="0"/>
        <w:rPr>
          <w:rFonts w:ascii="Arial" w:hAnsi="Arial" w:cs="Arial"/>
          <w:b/>
          <w:sz w:val="24"/>
          <w:szCs w:val="24"/>
        </w:rPr>
      </w:pPr>
      <w:r w:rsidRPr="00682B1C">
        <w:rPr>
          <w:rFonts w:ascii="Arial" w:hAnsi="Arial" w:cs="Arial"/>
          <w:b/>
          <w:sz w:val="24"/>
          <w:szCs w:val="24"/>
        </w:rPr>
        <w:t>DATE OF REPLY:</w:t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  <w:r w:rsidRPr="00682B1C">
        <w:rPr>
          <w:rFonts w:ascii="Arial" w:hAnsi="Arial" w:cs="Arial"/>
          <w:b/>
          <w:sz w:val="24"/>
          <w:szCs w:val="24"/>
        </w:rPr>
        <w:tab/>
      </w:r>
    </w:p>
    <w:p w:rsidR="00B6598E" w:rsidRPr="00B6598E" w:rsidRDefault="00B6598E" w:rsidP="00B6598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B6598E">
        <w:rPr>
          <w:rFonts w:ascii="Arial" w:hAnsi="Arial" w:cs="Arial"/>
          <w:b/>
          <w:noProof/>
          <w:sz w:val="24"/>
          <w:szCs w:val="24"/>
          <w:lang w:val="af-ZA"/>
        </w:rPr>
        <w:t xml:space="preserve">Mrs M R </w:t>
      </w:r>
      <w:r w:rsidRPr="00B6598E">
        <w:rPr>
          <w:rFonts w:ascii="Arial" w:hAnsi="Arial" w:cs="Arial"/>
          <w:b/>
          <w:sz w:val="24"/>
          <w:szCs w:val="24"/>
          <w:lang w:val="en-US"/>
        </w:rPr>
        <w:t>Shinn</w:t>
      </w:r>
      <w:r w:rsidRPr="00B6598E">
        <w:rPr>
          <w:rFonts w:ascii="Arial" w:hAnsi="Arial" w:cs="Arial"/>
          <w:b/>
          <w:noProof/>
          <w:sz w:val="24"/>
          <w:szCs w:val="24"/>
          <w:lang w:val="af-ZA"/>
        </w:rPr>
        <w:t xml:space="preserve"> (DA) to ask the Minister of Telecommunications and Postal Services:</w:t>
      </w:r>
    </w:p>
    <w:p w:rsidR="00B6598E" w:rsidRPr="00B6598E" w:rsidRDefault="00B6598E" w:rsidP="00B6598E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6598E">
        <w:rPr>
          <w:rFonts w:ascii="Arial" w:hAnsi="Arial" w:cs="Arial"/>
          <w:sz w:val="24"/>
          <w:szCs w:val="24"/>
        </w:rPr>
        <w:t xml:space="preserve">(a) On what date was the Director-General of his department appointed, (b) for what period has the specified person been </w:t>
      </w:r>
      <w:r w:rsidRPr="00B6598E">
        <w:rPr>
          <w:rFonts w:ascii="Arial" w:hAnsi="Arial" w:cs="Arial"/>
          <w:sz w:val="24"/>
          <w:szCs w:val="24"/>
          <w:lang w:val="en-US"/>
        </w:rPr>
        <w:t>appointed</w:t>
      </w:r>
      <w:r w:rsidRPr="00B6598E">
        <w:rPr>
          <w:rFonts w:ascii="Arial" w:hAnsi="Arial" w:cs="Arial"/>
          <w:sz w:val="24"/>
          <w:szCs w:val="24"/>
        </w:rPr>
        <w:t>, (c) what are the relevant details of the person’s (</w:t>
      </w:r>
      <w:proofErr w:type="spellStart"/>
      <w:r w:rsidRPr="00B6598E">
        <w:rPr>
          <w:rFonts w:ascii="Arial" w:hAnsi="Arial" w:cs="Arial"/>
          <w:sz w:val="24"/>
          <w:szCs w:val="24"/>
        </w:rPr>
        <w:t>i</w:t>
      </w:r>
      <w:proofErr w:type="spellEnd"/>
      <w:r w:rsidRPr="00B6598E">
        <w:rPr>
          <w:rFonts w:ascii="Arial" w:hAnsi="Arial" w:cs="Arial"/>
          <w:sz w:val="24"/>
          <w:szCs w:val="24"/>
        </w:rPr>
        <w:t>) annual salary and (ii) annual bonuses paid out in each year since the person’s appointment and (d) on what grounds were the bonuses paid in each case?</w:t>
      </w:r>
      <w:r w:rsidRPr="00B6598E">
        <w:rPr>
          <w:rFonts w:ascii="Arial" w:hAnsi="Arial" w:cs="Arial"/>
          <w:sz w:val="24"/>
          <w:szCs w:val="24"/>
        </w:rPr>
        <w:tab/>
      </w:r>
    </w:p>
    <w:p w:rsidR="00B6598E" w:rsidRPr="00B6598E" w:rsidRDefault="00B6598E" w:rsidP="00B6598E">
      <w:pPr>
        <w:tabs>
          <w:tab w:val="left" w:pos="432"/>
          <w:tab w:val="left" w:pos="720"/>
        </w:tabs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</w:r>
      <w:r w:rsidRPr="00B6598E">
        <w:rPr>
          <w:rFonts w:ascii="Arial" w:hAnsi="Arial" w:cs="Arial"/>
          <w:sz w:val="24"/>
          <w:szCs w:val="24"/>
        </w:rPr>
        <w:tab/>
        <w:t>NW901E</w:t>
      </w:r>
    </w:p>
    <w:p w:rsidR="00B6598E" w:rsidRDefault="00B6598E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REPLY:</w:t>
      </w:r>
    </w:p>
    <w:p w:rsidR="00B6598E" w:rsidRDefault="00B6598E" w:rsidP="00B6598E">
      <w:pPr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B6598E" w:rsidRDefault="00B6598E" w:rsidP="00B6598E">
      <w:pPr>
        <w:pStyle w:val="ListParagraph"/>
        <w:numPr>
          <w:ilvl w:val="0"/>
          <w:numId w:val="7"/>
        </w:numPr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March 2016</w:t>
      </w:r>
    </w:p>
    <w:p w:rsidR="00B6598E" w:rsidRPr="00B6598E" w:rsidRDefault="00B6598E" w:rsidP="00B6598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598E" w:rsidRPr="00B6598E" w:rsidRDefault="00B6598E" w:rsidP="00B6598E">
      <w:pPr>
        <w:pStyle w:val="ListParagraph"/>
        <w:numPr>
          <w:ilvl w:val="0"/>
          <w:numId w:val="7"/>
        </w:numPr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B6598E">
        <w:rPr>
          <w:rFonts w:ascii="Arial" w:hAnsi="Arial" w:cs="Arial"/>
          <w:sz w:val="24"/>
          <w:szCs w:val="24"/>
        </w:rPr>
        <w:t>For a period of five (5) years commencing on 21 November 2016 and terminating on 20 November 2021.</w:t>
      </w:r>
    </w:p>
    <w:p w:rsidR="00B6598E" w:rsidRPr="00B6598E" w:rsidRDefault="00B6598E" w:rsidP="00B6598E">
      <w:pPr>
        <w:pStyle w:val="ListParagraph"/>
        <w:numPr>
          <w:ilvl w:val="0"/>
          <w:numId w:val="7"/>
        </w:numPr>
        <w:ind w:left="284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382"/>
        <w:gridCol w:w="2878"/>
        <w:gridCol w:w="2884"/>
      </w:tblGrid>
      <w:tr w:rsidR="00B6598E" w:rsidRPr="00B6598E" w:rsidTr="00B6598E">
        <w:tc>
          <w:tcPr>
            <w:tcW w:w="2382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78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84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98E" w:rsidRPr="00B6598E" w:rsidTr="00B6598E">
        <w:tc>
          <w:tcPr>
            <w:tcW w:w="2382" w:type="dxa"/>
          </w:tcPr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9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6598E">
              <w:rPr>
                <w:rFonts w:ascii="Arial" w:hAnsi="Arial" w:cs="Arial"/>
                <w:sz w:val="24"/>
                <w:szCs w:val="24"/>
              </w:rPr>
              <w:t xml:space="preserve">     R1,689,750 (first notch of salary level 16)</w:t>
            </w:r>
          </w:p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9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6598E">
              <w:rPr>
                <w:rFonts w:ascii="Arial" w:hAnsi="Arial" w:cs="Arial"/>
                <w:sz w:val="24"/>
                <w:szCs w:val="24"/>
              </w:rPr>
              <w:t xml:space="preserve">   R1,782,687 (Annual cost of living adjustment)</w:t>
            </w:r>
          </w:p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59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6598E">
              <w:rPr>
                <w:rFonts w:ascii="Arial" w:hAnsi="Arial" w:cs="Arial"/>
                <w:sz w:val="24"/>
                <w:szCs w:val="24"/>
              </w:rPr>
              <w:t xml:space="preserve">   R1,782,687 (cost of living adjustment not yet announced)</w:t>
            </w:r>
          </w:p>
          <w:p w:rsidR="00B6598E" w:rsidRPr="00B6598E" w:rsidRDefault="00B6598E" w:rsidP="00F7472D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98E" w:rsidRPr="00B6598E" w:rsidTr="00B6598E">
        <w:tc>
          <w:tcPr>
            <w:tcW w:w="2382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ii    R0</w:t>
            </w:r>
          </w:p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ii  R0</w:t>
            </w:r>
          </w:p>
        </w:tc>
        <w:tc>
          <w:tcPr>
            <w:tcW w:w="2884" w:type="dxa"/>
          </w:tcPr>
          <w:p w:rsidR="00B6598E" w:rsidRPr="00B6598E" w:rsidRDefault="00B6598E" w:rsidP="00B6598E">
            <w:pPr>
              <w:pStyle w:val="ListParagraph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98E">
              <w:rPr>
                <w:rFonts w:ascii="Arial" w:hAnsi="Arial" w:cs="Arial"/>
                <w:sz w:val="24"/>
                <w:szCs w:val="24"/>
              </w:rPr>
              <w:t>ii  Assessment period must still be finalized</w:t>
            </w:r>
          </w:p>
        </w:tc>
      </w:tr>
    </w:tbl>
    <w:p w:rsidR="00B6598E" w:rsidRPr="00B6598E" w:rsidRDefault="00B6598E" w:rsidP="00B6598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6598E" w:rsidRPr="00B6598E" w:rsidRDefault="00B6598E" w:rsidP="00B6598E">
      <w:pPr>
        <w:pStyle w:val="ListParagraph"/>
        <w:numPr>
          <w:ilvl w:val="0"/>
          <w:numId w:val="7"/>
        </w:numPr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B6598E">
        <w:rPr>
          <w:rFonts w:ascii="Arial" w:hAnsi="Arial" w:cs="Arial"/>
          <w:sz w:val="24"/>
          <w:szCs w:val="24"/>
        </w:rPr>
        <w:t>Not applicable.</w:t>
      </w:r>
    </w:p>
    <w:p w:rsidR="00776733" w:rsidRDefault="00F40E17" w:rsidP="00B6598E">
      <w:pPr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B6598E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  <w:bookmarkStart w:id="0" w:name="_GoBack"/>
      <w:bookmarkEnd w:id="0"/>
    </w:p>
    <w:sectPr w:rsidR="00776733" w:rsidSect="00B6598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481"/>
    <w:multiLevelType w:val="hybridMultilevel"/>
    <w:tmpl w:val="7EF0431A"/>
    <w:lvl w:ilvl="0" w:tplc="60D4F9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9F524F"/>
    <w:multiLevelType w:val="hybridMultilevel"/>
    <w:tmpl w:val="232A433A"/>
    <w:lvl w:ilvl="0" w:tplc="A1FCA7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94566"/>
    <w:multiLevelType w:val="hybridMultilevel"/>
    <w:tmpl w:val="228464FE"/>
    <w:lvl w:ilvl="0" w:tplc="2A60084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EC0"/>
    <w:multiLevelType w:val="hybridMultilevel"/>
    <w:tmpl w:val="546ADFBA"/>
    <w:lvl w:ilvl="0" w:tplc="20688BCA">
      <w:start w:val="1"/>
      <w:numFmt w:val="lowerLetter"/>
      <w:lvlText w:val="(%1)"/>
      <w:lvlJc w:val="left"/>
      <w:pPr>
        <w:ind w:left="74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4C7B43FF"/>
    <w:multiLevelType w:val="hybridMultilevel"/>
    <w:tmpl w:val="20445338"/>
    <w:lvl w:ilvl="0" w:tplc="587A9B6C">
      <w:start w:val="9"/>
      <w:numFmt w:val="lowerLetter"/>
      <w:lvlText w:val="(%1)"/>
      <w:lvlJc w:val="left"/>
      <w:pPr>
        <w:ind w:left="31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2" w:hanging="360"/>
      </w:pPr>
    </w:lvl>
    <w:lvl w:ilvl="2" w:tplc="0809001B" w:tentative="1">
      <w:start w:val="1"/>
      <w:numFmt w:val="lowerRoman"/>
      <w:lvlText w:val="%3."/>
      <w:lvlJc w:val="right"/>
      <w:pPr>
        <w:ind w:left="4572" w:hanging="180"/>
      </w:pPr>
    </w:lvl>
    <w:lvl w:ilvl="3" w:tplc="0809000F" w:tentative="1">
      <w:start w:val="1"/>
      <w:numFmt w:val="decimal"/>
      <w:lvlText w:val="%4."/>
      <w:lvlJc w:val="left"/>
      <w:pPr>
        <w:ind w:left="5292" w:hanging="360"/>
      </w:pPr>
    </w:lvl>
    <w:lvl w:ilvl="4" w:tplc="08090019" w:tentative="1">
      <w:start w:val="1"/>
      <w:numFmt w:val="lowerLetter"/>
      <w:lvlText w:val="%5."/>
      <w:lvlJc w:val="left"/>
      <w:pPr>
        <w:ind w:left="6012" w:hanging="360"/>
      </w:pPr>
    </w:lvl>
    <w:lvl w:ilvl="5" w:tplc="0809001B" w:tentative="1">
      <w:start w:val="1"/>
      <w:numFmt w:val="lowerRoman"/>
      <w:lvlText w:val="%6."/>
      <w:lvlJc w:val="right"/>
      <w:pPr>
        <w:ind w:left="6732" w:hanging="180"/>
      </w:pPr>
    </w:lvl>
    <w:lvl w:ilvl="6" w:tplc="0809000F" w:tentative="1">
      <w:start w:val="1"/>
      <w:numFmt w:val="decimal"/>
      <w:lvlText w:val="%7."/>
      <w:lvlJc w:val="left"/>
      <w:pPr>
        <w:ind w:left="7452" w:hanging="360"/>
      </w:pPr>
    </w:lvl>
    <w:lvl w:ilvl="7" w:tplc="08090019" w:tentative="1">
      <w:start w:val="1"/>
      <w:numFmt w:val="lowerLetter"/>
      <w:lvlText w:val="%8."/>
      <w:lvlJc w:val="left"/>
      <w:pPr>
        <w:ind w:left="8172" w:hanging="360"/>
      </w:pPr>
    </w:lvl>
    <w:lvl w:ilvl="8" w:tplc="08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5" w15:restartNumberingAfterBreak="0">
    <w:nsid w:val="4D434A39"/>
    <w:multiLevelType w:val="hybridMultilevel"/>
    <w:tmpl w:val="564C36CA"/>
    <w:lvl w:ilvl="0" w:tplc="EB108C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B58517E"/>
    <w:multiLevelType w:val="hybridMultilevel"/>
    <w:tmpl w:val="8F505D02"/>
    <w:lvl w:ilvl="0" w:tplc="FD1CD1D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7"/>
    <w:rsid w:val="002D3D37"/>
    <w:rsid w:val="005F5D9A"/>
    <w:rsid w:val="00682B1C"/>
    <w:rsid w:val="00725B2A"/>
    <w:rsid w:val="00776733"/>
    <w:rsid w:val="008017B4"/>
    <w:rsid w:val="008B234C"/>
    <w:rsid w:val="00936A6D"/>
    <w:rsid w:val="0095656D"/>
    <w:rsid w:val="00B6598E"/>
    <w:rsid w:val="00D12080"/>
    <w:rsid w:val="00E21B90"/>
    <w:rsid w:val="00F40E17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8ADE-214C-4B21-93CA-838FA19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  <w:style w:type="table" w:styleId="TableGrid">
    <w:name w:val="Table Grid"/>
    <w:basedOn w:val="TableNormal"/>
    <w:uiPriority w:val="39"/>
    <w:rsid w:val="00B6598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Siyabulela Qoza</cp:lastModifiedBy>
  <cp:revision>3</cp:revision>
  <cp:lastPrinted>2018-04-10T11:33:00Z</cp:lastPrinted>
  <dcterms:created xsi:type="dcterms:W3CDTF">2018-04-19T08:32:00Z</dcterms:created>
  <dcterms:modified xsi:type="dcterms:W3CDTF">2018-04-19T08:32:00Z</dcterms:modified>
</cp:coreProperties>
</file>