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88" w:rsidRDefault="00931388" w:rsidP="004D2F24">
      <w:pPr>
        <w:jc w:val="left"/>
        <w:rPr>
          <w:rFonts w:cs="Arial"/>
          <w:b/>
          <w:sz w:val="24"/>
          <w:szCs w:val="24"/>
          <w:lang w:val="en-US" w:eastAsia="en-US"/>
        </w:rPr>
      </w:pPr>
      <w:bookmarkStart w:id="0" w:name="_GoBack"/>
      <w:bookmarkEnd w:id="0"/>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CB9927E" wp14:editId="5635D858">
            <wp:simplePos x="0" y="0"/>
            <wp:positionH relativeFrom="column">
              <wp:posOffset>2773045</wp:posOffset>
            </wp:positionH>
            <wp:positionV relativeFrom="paragraph">
              <wp:posOffset>-231140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760756">
        <w:rPr>
          <w:rFonts w:cs="Arial"/>
          <w:b/>
          <w:sz w:val="24"/>
          <w:szCs w:val="24"/>
          <w:lang w:val="af-ZA" w:eastAsia="en-US"/>
        </w:rPr>
        <w:t>81</w:t>
      </w:r>
      <w:r w:rsidR="00E92961">
        <w:rPr>
          <w:rFonts w:cs="Arial"/>
          <w:b/>
          <w:sz w:val="24"/>
          <w:szCs w:val="24"/>
          <w:lang w:val="af-ZA" w:eastAsia="en-US"/>
        </w:rPr>
        <w:t>3</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E92961">
        <w:rPr>
          <w:rFonts w:eastAsia="Calibri" w:cs="Arial"/>
          <w:b/>
          <w:sz w:val="24"/>
          <w:szCs w:val="24"/>
          <w:lang w:val="af-ZA" w:eastAsia="en-US"/>
        </w:rPr>
        <w:t>NW932</w:t>
      </w:r>
      <w:r w:rsidR="00760756" w:rsidRPr="00760756">
        <w:rPr>
          <w:rFonts w:eastAsia="Calibri" w:cs="Arial"/>
          <w:b/>
          <w:sz w:val="24"/>
          <w:szCs w:val="24"/>
          <w:lang w:val="af-ZA"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001459">
        <w:rPr>
          <w:rFonts w:cs="Arial"/>
          <w:b/>
          <w:sz w:val="24"/>
          <w:szCs w:val="24"/>
          <w:lang w:val="en-US" w:eastAsia="en-US"/>
        </w:rPr>
        <w:t>No. 09</w:t>
      </w:r>
      <w:r w:rsidR="00EE2AEC">
        <w:rPr>
          <w:rFonts w:cs="Arial"/>
          <w:b/>
          <w:sz w:val="24"/>
          <w:szCs w:val="24"/>
          <w:lang w:val="en-US" w:eastAsia="en-US"/>
        </w:rPr>
        <w:t xml:space="preserve"> 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760756">
        <w:rPr>
          <w:rFonts w:cs="Arial"/>
          <w:b/>
          <w:sz w:val="24"/>
          <w:szCs w:val="24"/>
        </w:rPr>
        <w:t>18</w:t>
      </w:r>
      <w:r w:rsidR="00610BA6">
        <w:rPr>
          <w:rFonts w:cs="Arial"/>
          <w:b/>
          <w:sz w:val="24"/>
          <w:szCs w:val="24"/>
        </w:rPr>
        <w:t xml:space="preserve"> MARCH</w:t>
      </w:r>
      <w:r w:rsidR="00EE2AEC">
        <w:rPr>
          <w:rFonts w:cs="Arial"/>
          <w:b/>
          <w:sz w:val="24"/>
          <w:szCs w:val="24"/>
        </w:rPr>
        <w:t xml:space="preserve"> 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8A416E">
        <w:rPr>
          <w:rFonts w:cs="Arial"/>
          <w:b/>
          <w:sz w:val="24"/>
          <w:szCs w:val="24"/>
          <w:lang w:val="en-US" w:eastAsia="en-US"/>
        </w:rPr>
        <w:t>24 MAY 2016</w:t>
      </w:r>
      <w:r w:rsidR="006F490A">
        <w:rPr>
          <w:rFonts w:cs="Arial"/>
          <w:b/>
          <w:sz w:val="24"/>
          <w:szCs w:val="24"/>
          <w:lang w:val="en-US" w:eastAsia="en-US"/>
        </w:rPr>
        <w:t xml:space="preserve">    </w:t>
      </w:r>
    </w:p>
    <w:p w:rsidR="00AE1CD0" w:rsidRPr="00E92961" w:rsidRDefault="00E92961" w:rsidP="00AE1CD0">
      <w:pPr>
        <w:spacing w:before="100" w:beforeAutospacing="1" w:after="100" w:afterAutospacing="1"/>
        <w:outlineLvl w:val="0"/>
        <w:rPr>
          <w:rFonts w:eastAsia="Calibri" w:cs="Arial"/>
          <w:sz w:val="24"/>
          <w:szCs w:val="24"/>
          <w:lang w:val="af-ZA" w:eastAsia="en-US"/>
        </w:rPr>
      </w:pPr>
      <w:r>
        <w:rPr>
          <w:rFonts w:cs="Arial"/>
          <w:b/>
          <w:sz w:val="24"/>
          <w:szCs w:val="24"/>
          <w:lang w:val="af-ZA" w:eastAsia="en-US"/>
        </w:rPr>
        <w:t>813</w:t>
      </w:r>
      <w:r w:rsidR="009776AC" w:rsidRPr="009776AC">
        <w:rPr>
          <w:rFonts w:cs="Arial"/>
          <w:b/>
          <w:sz w:val="24"/>
          <w:szCs w:val="24"/>
          <w:lang w:val="af-ZA" w:eastAsia="en-US"/>
        </w:rPr>
        <w:t>.</w:t>
      </w:r>
      <w:r w:rsidR="009776AC" w:rsidRPr="003D7908">
        <w:rPr>
          <w:rFonts w:cs="Arial"/>
          <w:b/>
          <w:sz w:val="24"/>
          <w:szCs w:val="24"/>
          <w:lang w:val="af-ZA" w:eastAsia="en-US"/>
        </w:rPr>
        <w:tab/>
      </w:r>
      <w:r w:rsidR="00AE1CD0" w:rsidRPr="00E92961">
        <w:rPr>
          <w:rFonts w:eastAsia="Calibri" w:cs="Arial"/>
          <w:b/>
          <w:sz w:val="24"/>
          <w:szCs w:val="24"/>
          <w:lang w:val="af-ZA" w:eastAsia="en-US"/>
        </w:rPr>
        <w:t xml:space="preserve">Ms D Kohler (DA) </w:t>
      </w:r>
      <w:r w:rsidR="00AE1CD0" w:rsidRPr="00E92961">
        <w:rPr>
          <w:rFonts w:eastAsia="Calibri" w:cs="Arial"/>
          <w:b/>
          <w:sz w:val="24"/>
          <w:szCs w:val="24"/>
          <w:lang w:eastAsia="en-US"/>
        </w:rPr>
        <w:t>asked</w:t>
      </w:r>
      <w:r w:rsidR="00AE1CD0" w:rsidRPr="00E92961">
        <w:rPr>
          <w:rFonts w:eastAsia="Calibri" w:cs="Arial"/>
          <w:b/>
          <w:sz w:val="24"/>
          <w:szCs w:val="24"/>
          <w:lang w:val="af-ZA" w:eastAsia="en-US"/>
        </w:rPr>
        <w:t xml:space="preserve"> the Minister of Public Works:</w:t>
      </w:r>
    </w:p>
    <w:p w:rsidR="00E92961" w:rsidRPr="00E92961" w:rsidRDefault="00E92961" w:rsidP="009922B3">
      <w:pPr>
        <w:pBdr>
          <w:bottom w:val="single" w:sz="12" w:space="1" w:color="auto"/>
        </w:pBdr>
        <w:spacing w:line="276" w:lineRule="auto"/>
        <w:outlineLvl w:val="0"/>
        <w:rPr>
          <w:rFonts w:eastAsia="Calibri" w:cs="Arial"/>
          <w:b/>
          <w:sz w:val="24"/>
          <w:szCs w:val="24"/>
          <w:lang w:val="af-ZA" w:eastAsia="en-US"/>
        </w:rPr>
      </w:pPr>
      <w:r w:rsidRPr="004133BF">
        <w:rPr>
          <w:rFonts w:eastAsia="Calibri" w:cs="Arial"/>
          <w:sz w:val="24"/>
          <w:szCs w:val="24"/>
          <w:lang w:val="af-ZA" w:eastAsia="en-US"/>
        </w:rPr>
        <w:t>Since the launch of his department’s turnaround strategy in January 2012, (a) how many of his department’s employees were convicted of corruption, (b) who was responsible for investigations against allegations of corruption on the part of the specified employees and (c) how many of the employees that were convicted receiv</w:t>
      </w:r>
      <w:r w:rsidRPr="00E92961">
        <w:rPr>
          <w:rFonts w:eastAsia="Calibri" w:cs="Arial"/>
          <w:sz w:val="24"/>
          <w:szCs w:val="24"/>
          <w:lang w:val="af-ZA" w:eastAsia="en-US"/>
        </w:rPr>
        <w:t>ed sentences of imprisonment?</w:t>
      </w:r>
      <w:r w:rsidRPr="00E92961">
        <w:rPr>
          <w:rFonts w:eastAsia="Calibri" w:cs="Arial"/>
          <w:sz w:val="24"/>
          <w:szCs w:val="24"/>
          <w:lang w:val="af-ZA" w:eastAsia="en-US"/>
        </w:rPr>
        <w:tab/>
      </w:r>
      <w:r>
        <w:rPr>
          <w:rFonts w:eastAsia="Calibri" w:cs="Arial"/>
          <w:sz w:val="24"/>
          <w:szCs w:val="24"/>
          <w:lang w:val="af-ZA" w:eastAsia="en-US"/>
        </w:rPr>
        <w:tab/>
      </w:r>
      <w:r>
        <w:rPr>
          <w:rFonts w:eastAsia="Calibri" w:cs="Arial"/>
          <w:sz w:val="24"/>
          <w:szCs w:val="24"/>
          <w:lang w:val="af-ZA" w:eastAsia="en-US"/>
        </w:rPr>
        <w:tab/>
      </w:r>
      <w:r>
        <w:rPr>
          <w:rFonts w:eastAsia="Calibri" w:cs="Arial"/>
          <w:sz w:val="24"/>
          <w:szCs w:val="24"/>
          <w:lang w:val="af-ZA" w:eastAsia="en-US"/>
        </w:rPr>
        <w:tab/>
      </w:r>
      <w:r>
        <w:rPr>
          <w:rFonts w:eastAsia="Calibri" w:cs="Arial"/>
          <w:sz w:val="24"/>
          <w:szCs w:val="24"/>
          <w:lang w:val="af-ZA" w:eastAsia="en-US"/>
        </w:rPr>
        <w:tab/>
      </w:r>
      <w:r w:rsidR="009922B3">
        <w:rPr>
          <w:rFonts w:eastAsia="Calibri" w:cs="Arial"/>
          <w:sz w:val="24"/>
          <w:szCs w:val="24"/>
          <w:lang w:val="af-ZA" w:eastAsia="en-US"/>
        </w:rPr>
        <w:tab/>
      </w:r>
      <w:r w:rsidR="009922B3">
        <w:rPr>
          <w:rFonts w:eastAsia="Calibri" w:cs="Arial"/>
          <w:sz w:val="24"/>
          <w:szCs w:val="24"/>
          <w:lang w:val="af-ZA" w:eastAsia="en-US"/>
        </w:rPr>
        <w:tab/>
      </w:r>
      <w:r w:rsidR="009922B3">
        <w:rPr>
          <w:rFonts w:eastAsia="Calibri" w:cs="Arial"/>
          <w:sz w:val="24"/>
          <w:szCs w:val="24"/>
          <w:lang w:val="af-ZA" w:eastAsia="en-US"/>
        </w:rPr>
        <w:tab/>
      </w:r>
      <w:r w:rsidR="009922B3">
        <w:rPr>
          <w:rFonts w:eastAsia="Calibri" w:cs="Arial"/>
          <w:sz w:val="24"/>
          <w:szCs w:val="24"/>
          <w:lang w:val="af-ZA" w:eastAsia="en-US"/>
        </w:rPr>
        <w:tab/>
      </w:r>
      <w:r w:rsidR="009922B3">
        <w:rPr>
          <w:rFonts w:eastAsia="Calibri" w:cs="Arial"/>
          <w:sz w:val="24"/>
          <w:szCs w:val="24"/>
          <w:lang w:val="af-ZA" w:eastAsia="en-US"/>
        </w:rPr>
        <w:tab/>
      </w:r>
      <w:r w:rsidR="009922B3">
        <w:rPr>
          <w:rFonts w:eastAsia="Calibri" w:cs="Arial"/>
          <w:sz w:val="24"/>
          <w:szCs w:val="24"/>
          <w:lang w:val="af-ZA" w:eastAsia="en-US"/>
        </w:rPr>
        <w:tab/>
      </w:r>
      <w:r>
        <w:rPr>
          <w:rFonts w:eastAsia="Calibri" w:cs="Arial"/>
          <w:sz w:val="24"/>
          <w:szCs w:val="24"/>
          <w:lang w:val="af-ZA" w:eastAsia="en-US"/>
        </w:rPr>
        <w:tab/>
      </w:r>
      <w:r w:rsidRPr="009922B3">
        <w:rPr>
          <w:rFonts w:eastAsia="Calibri" w:cs="Arial"/>
          <w:b/>
          <w:sz w:val="20"/>
          <w:lang w:val="af-ZA" w:eastAsia="en-US"/>
        </w:rPr>
        <w:t>NW932E</w:t>
      </w:r>
    </w:p>
    <w:p w:rsidR="009922B3" w:rsidRDefault="009922B3" w:rsidP="009922B3">
      <w:pPr>
        <w:spacing w:line="276" w:lineRule="auto"/>
        <w:rPr>
          <w:rFonts w:cs="Arial"/>
          <w:b/>
          <w:sz w:val="24"/>
          <w:szCs w:val="24"/>
          <w:lang w:eastAsia="en-US"/>
        </w:rPr>
      </w:pPr>
      <w:r>
        <w:rPr>
          <w:rFonts w:cs="Arial"/>
          <w:b/>
          <w:sz w:val="24"/>
          <w:szCs w:val="24"/>
          <w:lang w:eastAsia="en-US"/>
        </w:rPr>
        <w:t>REPLY:</w:t>
      </w:r>
    </w:p>
    <w:p w:rsidR="009922B3" w:rsidRDefault="009922B3" w:rsidP="009922B3">
      <w:pPr>
        <w:spacing w:line="276" w:lineRule="auto"/>
        <w:rPr>
          <w:rFonts w:cs="Arial"/>
          <w:b/>
          <w:sz w:val="24"/>
          <w:szCs w:val="24"/>
          <w:lang w:eastAsia="en-US"/>
        </w:rPr>
      </w:pPr>
    </w:p>
    <w:p w:rsidR="004D2F24" w:rsidRPr="00EF25FA" w:rsidRDefault="00B44E3D" w:rsidP="009922B3">
      <w:pPr>
        <w:spacing w:line="276" w:lineRule="auto"/>
        <w:rPr>
          <w:rFonts w:cs="Arial"/>
          <w:b/>
          <w:sz w:val="24"/>
          <w:szCs w:val="24"/>
          <w:lang w:eastAsia="en-US"/>
        </w:rPr>
      </w:pPr>
      <w:r w:rsidRPr="00EF25FA">
        <w:rPr>
          <w:rFonts w:cs="Arial"/>
          <w:b/>
          <w:sz w:val="24"/>
          <w:szCs w:val="24"/>
          <w:lang w:eastAsia="en-US"/>
        </w:rPr>
        <w:t>The Minister of Public Works</w:t>
      </w:r>
    </w:p>
    <w:p w:rsidR="0003231B" w:rsidRDefault="0003231B" w:rsidP="00591850">
      <w:pPr>
        <w:rPr>
          <w:rFonts w:cs="Arial"/>
          <w:b/>
          <w:sz w:val="24"/>
          <w:szCs w:val="24"/>
          <w:lang w:eastAsia="en-US"/>
        </w:rPr>
      </w:pPr>
    </w:p>
    <w:p w:rsidR="0003231B" w:rsidRDefault="0003231B" w:rsidP="00591850">
      <w:pPr>
        <w:rPr>
          <w:rFonts w:cs="Arial"/>
          <w:b/>
          <w:sz w:val="24"/>
          <w:szCs w:val="24"/>
          <w:lang w:eastAsia="en-US"/>
        </w:rPr>
      </w:pPr>
    </w:p>
    <w:p w:rsidR="00BA13C8" w:rsidRPr="009922B3" w:rsidRDefault="009922B3" w:rsidP="009922B3">
      <w:pPr>
        <w:ind w:left="720" w:hanging="720"/>
        <w:rPr>
          <w:sz w:val="24"/>
          <w:szCs w:val="24"/>
        </w:rPr>
      </w:pPr>
      <w:r>
        <w:rPr>
          <w:sz w:val="24"/>
          <w:szCs w:val="24"/>
        </w:rPr>
        <w:t xml:space="preserve">(a) </w:t>
      </w:r>
      <w:r>
        <w:rPr>
          <w:sz w:val="24"/>
          <w:szCs w:val="24"/>
        </w:rPr>
        <w:tab/>
      </w:r>
      <w:r w:rsidR="00BA13C8" w:rsidRPr="009922B3">
        <w:rPr>
          <w:sz w:val="24"/>
          <w:szCs w:val="24"/>
        </w:rPr>
        <w:t xml:space="preserve">Since January 2012, no official </w:t>
      </w:r>
      <w:r w:rsidRPr="009922B3">
        <w:rPr>
          <w:sz w:val="24"/>
          <w:szCs w:val="24"/>
        </w:rPr>
        <w:t>of the Department of Public Works (DPW) has been</w:t>
      </w:r>
      <w:r w:rsidR="00BA13C8" w:rsidRPr="009922B3">
        <w:rPr>
          <w:sz w:val="24"/>
          <w:szCs w:val="24"/>
        </w:rPr>
        <w:t xml:space="preserve"> convicted of corruption. However</w:t>
      </w:r>
      <w:r w:rsidRPr="009922B3">
        <w:rPr>
          <w:sz w:val="24"/>
          <w:szCs w:val="24"/>
        </w:rPr>
        <w:t>, with the assistance of the Special Investigating Unit (SIU)</w:t>
      </w:r>
      <w:r w:rsidR="00BA13C8" w:rsidRPr="009922B3">
        <w:rPr>
          <w:sz w:val="24"/>
          <w:szCs w:val="24"/>
        </w:rPr>
        <w:t xml:space="preserve"> criminal cases were opened with the South African Police Services (SAPS) and the investigations are still on-going.</w:t>
      </w:r>
    </w:p>
    <w:p w:rsidR="009922B3" w:rsidRDefault="009922B3" w:rsidP="0003231B">
      <w:pPr>
        <w:pStyle w:val="BodyTextIndent"/>
      </w:pPr>
    </w:p>
    <w:p w:rsidR="0003231B" w:rsidRDefault="00BA13C8" w:rsidP="0003231B">
      <w:pPr>
        <w:pStyle w:val="BodyTextIndent"/>
      </w:pPr>
      <w:r w:rsidRPr="00BA13C8">
        <w:t xml:space="preserve">The following </w:t>
      </w:r>
      <w:r>
        <w:t>cases of corruption/fraud have been registered with the South African Police Service (SAPS), during the periods as indicated:</w:t>
      </w:r>
    </w:p>
    <w:p w:rsidR="0003231B" w:rsidRDefault="0003231B" w:rsidP="0003231B">
      <w:pPr>
        <w:pStyle w:val="BodyTextIndent"/>
      </w:pPr>
    </w:p>
    <w:tbl>
      <w:tblPr>
        <w:tblStyle w:val="TableGrid"/>
        <w:tblW w:w="0" w:type="auto"/>
        <w:tblInd w:w="720" w:type="dxa"/>
        <w:tblLook w:val="04A0" w:firstRow="1" w:lastRow="0" w:firstColumn="1" w:lastColumn="0" w:noHBand="0" w:noVBand="1"/>
      </w:tblPr>
      <w:tblGrid>
        <w:gridCol w:w="1278"/>
        <w:gridCol w:w="1170"/>
        <w:gridCol w:w="1800"/>
        <w:gridCol w:w="1710"/>
        <w:gridCol w:w="2160"/>
        <w:gridCol w:w="1046"/>
      </w:tblGrid>
      <w:tr w:rsidR="00BA13C8" w:rsidTr="0003231B">
        <w:tc>
          <w:tcPr>
            <w:tcW w:w="1278" w:type="dxa"/>
            <w:shd w:val="clear" w:color="auto" w:fill="F79646" w:themeFill="accent6"/>
          </w:tcPr>
          <w:p w:rsidR="00BA13C8" w:rsidRPr="0003231B" w:rsidRDefault="00BA13C8" w:rsidP="00BA13C8">
            <w:pPr>
              <w:pStyle w:val="Footer"/>
              <w:tabs>
                <w:tab w:val="clear" w:pos="4680"/>
                <w:tab w:val="clear" w:pos="9360"/>
              </w:tabs>
              <w:jc w:val="left"/>
              <w:rPr>
                <w:rFonts w:cs="Arial"/>
                <w:sz w:val="20"/>
                <w:lang w:eastAsia="en-US"/>
              </w:rPr>
            </w:pPr>
            <w:r w:rsidRPr="0003231B">
              <w:rPr>
                <w:rFonts w:cs="Arial"/>
                <w:sz w:val="20"/>
                <w:lang w:eastAsia="en-US"/>
              </w:rPr>
              <w:t>F/Y in which cases were reported</w:t>
            </w:r>
          </w:p>
        </w:tc>
        <w:tc>
          <w:tcPr>
            <w:tcW w:w="1170" w:type="dxa"/>
            <w:shd w:val="clear" w:color="auto" w:fill="F79646" w:themeFill="accent6"/>
          </w:tcPr>
          <w:p w:rsidR="00BA13C8" w:rsidRPr="0003231B" w:rsidRDefault="00BA13C8" w:rsidP="00BA13C8">
            <w:pPr>
              <w:pStyle w:val="Footer"/>
              <w:tabs>
                <w:tab w:val="clear" w:pos="4680"/>
                <w:tab w:val="clear" w:pos="9360"/>
              </w:tabs>
              <w:jc w:val="left"/>
              <w:rPr>
                <w:rFonts w:cs="Arial"/>
                <w:sz w:val="20"/>
                <w:lang w:eastAsia="en-US"/>
              </w:rPr>
            </w:pPr>
            <w:r w:rsidRPr="0003231B">
              <w:rPr>
                <w:rFonts w:cs="Arial"/>
                <w:sz w:val="20"/>
                <w:lang w:eastAsia="en-US"/>
              </w:rPr>
              <w:t>Cases registered with SAPS</w:t>
            </w:r>
          </w:p>
        </w:tc>
        <w:tc>
          <w:tcPr>
            <w:tcW w:w="1800" w:type="dxa"/>
            <w:shd w:val="clear" w:color="auto" w:fill="F79646" w:themeFill="accent6"/>
          </w:tcPr>
          <w:p w:rsidR="00BA13C8" w:rsidRPr="0003231B" w:rsidRDefault="00BA13C8" w:rsidP="00BA13C8">
            <w:pPr>
              <w:jc w:val="left"/>
              <w:rPr>
                <w:rFonts w:cs="Arial"/>
                <w:sz w:val="20"/>
                <w:lang w:eastAsia="en-US"/>
              </w:rPr>
            </w:pPr>
            <w:r w:rsidRPr="0003231B">
              <w:rPr>
                <w:rFonts w:cs="Arial"/>
                <w:sz w:val="20"/>
                <w:lang w:eastAsia="en-US"/>
              </w:rPr>
              <w:t>Cases being investigated by SAPS</w:t>
            </w:r>
          </w:p>
        </w:tc>
        <w:tc>
          <w:tcPr>
            <w:tcW w:w="1710" w:type="dxa"/>
            <w:shd w:val="clear" w:color="auto" w:fill="F79646" w:themeFill="accent6"/>
          </w:tcPr>
          <w:p w:rsidR="00BA13C8" w:rsidRPr="0003231B" w:rsidRDefault="00BA13C8" w:rsidP="00BA13C8">
            <w:pPr>
              <w:jc w:val="left"/>
              <w:rPr>
                <w:rFonts w:cs="Arial"/>
                <w:sz w:val="20"/>
                <w:lang w:eastAsia="en-US"/>
              </w:rPr>
            </w:pPr>
            <w:r w:rsidRPr="0003231B">
              <w:rPr>
                <w:rFonts w:cs="Arial"/>
                <w:sz w:val="20"/>
                <w:lang w:eastAsia="en-US"/>
              </w:rPr>
              <w:t>Cases being considered by Prosecuting Authority</w:t>
            </w:r>
          </w:p>
        </w:tc>
        <w:tc>
          <w:tcPr>
            <w:tcW w:w="2160" w:type="dxa"/>
            <w:shd w:val="clear" w:color="auto" w:fill="F79646" w:themeFill="accent6"/>
          </w:tcPr>
          <w:p w:rsidR="00BA13C8" w:rsidRPr="0003231B" w:rsidRDefault="00BA13C8" w:rsidP="00BA13C8">
            <w:pPr>
              <w:jc w:val="left"/>
              <w:rPr>
                <w:rFonts w:cs="Arial"/>
                <w:sz w:val="20"/>
                <w:lang w:eastAsia="en-US"/>
              </w:rPr>
            </w:pPr>
            <w:r w:rsidRPr="0003231B">
              <w:rPr>
                <w:rFonts w:cs="Arial"/>
                <w:sz w:val="20"/>
                <w:lang w:eastAsia="en-US"/>
              </w:rPr>
              <w:t>Cases being declined to prosecute by Prosecuting Authority</w:t>
            </w:r>
          </w:p>
        </w:tc>
        <w:tc>
          <w:tcPr>
            <w:tcW w:w="1046" w:type="dxa"/>
            <w:shd w:val="clear" w:color="auto" w:fill="F79646" w:themeFill="accent6"/>
          </w:tcPr>
          <w:p w:rsidR="00BA13C8" w:rsidRPr="0003231B" w:rsidRDefault="00BA13C8" w:rsidP="00BA13C8">
            <w:pPr>
              <w:jc w:val="left"/>
              <w:rPr>
                <w:rFonts w:cs="Arial"/>
                <w:sz w:val="20"/>
                <w:lang w:eastAsia="en-US"/>
              </w:rPr>
            </w:pPr>
            <w:r w:rsidRPr="0003231B">
              <w:rPr>
                <w:rFonts w:cs="Arial"/>
                <w:sz w:val="20"/>
                <w:lang w:eastAsia="en-US"/>
              </w:rPr>
              <w:t>Cases before court</w:t>
            </w:r>
          </w:p>
        </w:tc>
      </w:tr>
      <w:tr w:rsidR="00BA13C8" w:rsidTr="0003231B">
        <w:tc>
          <w:tcPr>
            <w:tcW w:w="1278" w:type="dxa"/>
          </w:tcPr>
          <w:p w:rsidR="00BA13C8" w:rsidRPr="0003231B" w:rsidRDefault="00BA13C8" w:rsidP="00BA13C8">
            <w:pPr>
              <w:rPr>
                <w:rFonts w:cs="Arial"/>
                <w:szCs w:val="22"/>
                <w:lang w:eastAsia="en-US"/>
              </w:rPr>
            </w:pPr>
            <w:r w:rsidRPr="0003231B">
              <w:rPr>
                <w:rFonts w:cs="Arial"/>
                <w:szCs w:val="22"/>
                <w:lang w:eastAsia="en-US"/>
              </w:rPr>
              <w:t>2011 - 12</w:t>
            </w:r>
          </w:p>
        </w:tc>
        <w:tc>
          <w:tcPr>
            <w:tcW w:w="1170" w:type="dxa"/>
          </w:tcPr>
          <w:p w:rsidR="00BA13C8" w:rsidRPr="0003231B" w:rsidRDefault="00BA13C8" w:rsidP="00BF1A17">
            <w:pPr>
              <w:jc w:val="center"/>
              <w:rPr>
                <w:rFonts w:cs="Arial"/>
                <w:szCs w:val="22"/>
                <w:lang w:eastAsia="en-US"/>
              </w:rPr>
            </w:pPr>
            <w:r w:rsidRPr="0003231B">
              <w:rPr>
                <w:rFonts w:cs="Arial"/>
                <w:szCs w:val="22"/>
                <w:lang w:eastAsia="en-US"/>
              </w:rPr>
              <w:t>1</w:t>
            </w:r>
          </w:p>
        </w:tc>
        <w:tc>
          <w:tcPr>
            <w:tcW w:w="1800" w:type="dxa"/>
          </w:tcPr>
          <w:p w:rsidR="00BA13C8" w:rsidRPr="0003231B" w:rsidRDefault="00BA13C8" w:rsidP="00BF1A17">
            <w:pPr>
              <w:jc w:val="center"/>
              <w:rPr>
                <w:rFonts w:cs="Arial"/>
                <w:szCs w:val="22"/>
                <w:lang w:eastAsia="en-US"/>
              </w:rPr>
            </w:pPr>
          </w:p>
        </w:tc>
        <w:tc>
          <w:tcPr>
            <w:tcW w:w="1710" w:type="dxa"/>
          </w:tcPr>
          <w:p w:rsidR="00BA13C8" w:rsidRPr="0003231B" w:rsidRDefault="00BA13C8" w:rsidP="00BF1A17">
            <w:pPr>
              <w:jc w:val="center"/>
              <w:rPr>
                <w:rFonts w:cs="Arial"/>
                <w:szCs w:val="22"/>
                <w:lang w:eastAsia="en-US"/>
              </w:rPr>
            </w:pPr>
          </w:p>
        </w:tc>
        <w:tc>
          <w:tcPr>
            <w:tcW w:w="2160" w:type="dxa"/>
          </w:tcPr>
          <w:p w:rsidR="00BA13C8" w:rsidRPr="0003231B" w:rsidRDefault="00BA13C8" w:rsidP="00BF1A17">
            <w:pPr>
              <w:jc w:val="center"/>
              <w:rPr>
                <w:rFonts w:cs="Arial"/>
                <w:szCs w:val="22"/>
                <w:lang w:eastAsia="en-US"/>
              </w:rPr>
            </w:pPr>
          </w:p>
        </w:tc>
        <w:tc>
          <w:tcPr>
            <w:tcW w:w="1046" w:type="dxa"/>
          </w:tcPr>
          <w:p w:rsidR="00BA13C8" w:rsidRPr="0003231B" w:rsidRDefault="00BA13C8" w:rsidP="00BF1A17">
            <w:pPr>
              <w:jc w:val="center"/>
              <w:rPr>
                <w:rFonts w:cs="Arial"/>
                <w:szCs w:val="22"/>
                <w:lang w:eastAsia="en-US"/>
              </w:rPr>
            </w:pPr>
            <w:r w:rsidRPr="0003231B">
              <w:rPr>
                <w:rFonts w:cs="Arial"/>
                <w:szCs w:val="22"/>
                <w:lang w:eastAsia="en-US"/>
              </w:rPr>
              <w:t>1</w:t>
            </w:r>
          </w:p>
        </w:tc>
      </w:tr>
      <w:tr w:rsidR="00BA13C8" w:rsidTr="0003231B">
        <w:tc>
          <w:tcPr>
            <w:tcW w:w="1278" w:type="dxa"/>
          </w:tcPr>
          <w:p w:rsidR="00BA13C8" w:rsidRPr="0003231B" w:rsidRDefault="00BA13C8" w:rsidP="00BA13C8">
            <w:pPr>
              <w:rPr>
                <w:rFonts w:cs="Arial"/>
                <w:szCs w:val="22"/>
                <w:lang w:eastAsia="en-US"/>
              </w:rPr>
            </w:pPr>
            <w:r w:rsidRPr="0003231B">
              <w:rPr>
                <w:rFonts w:cs="Arial"/>
                <w:szCs w:val="22"/>
                <w:lang w:eastAsia="en-US"/>
              </w:rPr>
              <w:t>2012 - 13</w:t>
            </w:r>
          </w:p>
        </w:tc>
        <w:tc>
          <w:tcPr>
            <w:tcW w:w="1170" w:type="dxa"/>
          </w:tcPr>
          <w:p w:rsidR="00BA13C8" w:rsidRPr="0003231B" w:rsidRDefault="00FB2FA8" w:rsidP="00BF1A17">
            <w:pPr>
              <w:jc w:val="center"/>
              <w:rPr>
                <w:rFonts w:cs="Arial"/>
                <w:szCs w:val="22"/>
                <w:lang w:eastAsia="en-US"/>
              </w:rPr>
            </w:pPr>
            <w:r w:rsidRPr="0003231B">
              <w:rPr>
                <w:rFonts w:cs="Arial"/>
                <w:szCs w:val="22"/>
                <w:lang w:eastAsia="en-US"/>
              </w:rPr>
              <w:t>1</w:t>
            </w:r>
            <w:r w:rsidR="00EA3C6C" w:rsidRPr="0003231B">
              <w:rPr>
                <w:rFonts w:cs="Arial"/>
                <w:szCs w:val="22"/>
                <w:lang w:eastAsia="en-US"/>
              </w:rPr>
              <w:t>5</w:t>
            </w:r>
          </w:p>
        </w:tc>
        <w:tc>
          <w:tcPr>
            <w:tcW w:w="1800" w:type="dxa"/>
          </w:tcPr>
          <w:p w:rsidR="00BA13C8" w:rsidRPr="0003231B" w:rsidRDefault="00FB2FA8" w:rsidP="00BF1A17">
            <w:pPr>
              <w:jc w:val="center"/>
              <w:rPr>
                <w:rFonts w:cs="Arial"/>
                <w:szCs w:val="22"/>
                <w:lang w:eastAsia="en-US"/>
              </w:rPr>
            </w:pPr>
            <w:r w:rsidRPr="0003231B">
              <w:rPr>
                <w:rFonts w:cs="Arial"/>
                <w:szCs w:val="22"/>
                <w:lang w:eastAsia="en-US"/>
              </w:rPr>
              <w:t>1</w:t>
            </w:r>
            <w:r w:rsidR="00EA3C6C" w:rsidRPr="0003231B">
              <w:rPr>
                <w:rFonts w:cs="Arial"/>
                <w:szCs w:val="22"/>
                <w:lang w:eastAsia="en-US"/>
              </w:rPr>
              <w:t>2</w:t>
            </w:r>
          </w:p>
        </w:tc>
        <w:tc>
          <w:tcPr>
            <w:tcW w:w="1710" w:type="dxa"/>
          </w:tcPr>
          <w:p w:rsidR="00BA13C8" w:rsidRPr="0003231B" w:rsidRDefault="00EA3C6C" w:rsidP="00BF1A17">
            <w:pPr>
              <w:jc w:val="center"/>
              <w:rPr>
                <w:rFonts w:cs="Arial"/>
                <w:szCs w:val="22"/>
                <w:lang w:eastAsia="en-US"/>
              </w:rPr>
            </w:pPr>
            <w:r w:rsidRPr="0003231B">
              <w:rPr>
                <w:rFonts w:cs="Arial"/>
                <w:szCs w:val="22"/>
                <w:lang w:eastAsia="en-US"/>
              </w:rPr>
              <w:t>2</w:t>
            </w:r>
          </w:p>
        </w:tc>
        <w:tc>
          <w:tcPr>
            <w:tcW w:w="2160" w:type="dxa"/>
          </w:tcPr>
          <w:p w:rsidR="00BA13C8" w:rsidRPr="0003231B" w:rsidRDefault="00EA3C6C" w:rsidP="00BF1A17">
            <w:pPr>
              <w:jc w:val="center"/>
              <w:rPr>
                <w:rFonts w:cs="Arial"/>
                <w:szCs w:val="22"/>
                <w:lang w:eastAsia="en-US"/>
              </w:rPr>
            </w:pPr>
            <w:r w:rsidRPr="0003231B">
              <w:rPr>
                <w:rFonts w:cs="Arial"/>
                <w:szCs w:val="22"/>
                <w:lang w:eastAsia="en-US"/>
              </w:rPr>
              <w:t>1</w:t>
            </w:r>
          </w:p>
        </w:tc>
        <w:tc>
          <w:tcPr>
            <w:tcW w:w="1046" w:type="dxa"/>
          </w:tcPr>
          <w:p w:rsidR="00BA13C8" w:rsidRPr="0003231B" w:rsidRDefault="00BA13C8" w:rsidP="00BF1A17">
            <w:pPr>
              <w:jc w:val="center"/>
              <w:rPr>
                <w:rFonts w:cs="Arial"/>
                <w:szCs w:val="22"/>
                <w:lang w:eastAsia="en-US"/>
              </w:rPr>
            </w:pPr>
          </w:p>
        </w:tc>
      </w:tr>
      <w:tr w:rsidR="00BA13C8" w:rsidTr="0003231B">
        <w:tc>
          <w:tcPr>
            <w:tcW w:w="1278" w:type="dxa"/>
          </w:tcPr>
          <w:p w:rsidR="00BA13C8" w:rsidRPr="0003231B" w:rsidRDefault="00FB2FA8" w:rsidP="00BA13C8">
            <w:pPr>
              <w:rPr>
                <w:rFonts w:cs="Arial"/>
                <w:szCs w:val="22"/>
                <w:lang w:eastAsia="en-US"/>
              </w:rPr>
            </w:pPr>
            <w:r w:rsidRPr="0003231B">
              <w:rPr>
                <w:rFonts w:cs="Arial"/>
                <w:szCs w:val="22"/>
                <w:lang w:eastAsia="en-US"/>
              </w:rPr>
              <w:t xml:space="preserve">2013 </w:t>
            </w:r>
            <w:r w:rsidR="00BA13C8" w:rsidRPr="0003231B">
              <w:rPr>
                <w:rFonts w:cs="Arial"/>
                <w:szCs w:val="22"/>
                <w:lang w:eastAsia="en-US"/>
              </w:rPr>
              <w:t>-</w:t>
            </w:r>
            <w:r w:rsidRPr="0003231B">
              <w:rPr>
                <w:rFonts w:cs="Arial"/>
                <w:szCs w:val="22"/>
                <w:lang w:eastAsia="en-US"/>
              </w:rPr>
              <w:t xml:space="preserve"> </w:t>
            </w:r>
            <w:r w:rsidR="00BA13C8" w:rsidRPr="0003231B">
              <w:rPr>
                <w:rFonts w:cs="Arial"/>
                <w:szCs w:val="22"/>
                <w:lang w:eastAsia="en-US"/>
              </w:rPr>
              <w:t>14</w:t>
            </w:r>
          </w:p>
        </w:tc>
        <w:tc>
          <w:tcPr>
            <w:tcW w:w="1170" w:type="dxa"/>
          </w:tcPr>
          <w:p w:rsidR="00BA13C8" w:rsidRPr="0003231B" w:rsidRDefault="00EA3C6C" w:rsidP="00BF1A17">
            <w:pPr>
              <w:jc w:val="center"/>
              <w:rPr>
                <w:rFonts w:cs="Arial"/>
                <w:szCs w:val="22"/>
                <w:lang w:eastAsia="en-US"/>
              </w:rPr>
            </w:pPr>
            <w:r w:rsidRPr="0003231B">
              <w:rPr>
                <w:rFonts w:cs="Arial"/>
                <w:szCs w:val="22"/>
                <w:lang w:eastAsia="en-US"/>
              </w:rPr>
              <w:t>2</w:t>
            </w:r>
          </w:p>
        </w:tc>
        <w:tc>
          <w:tcPr>
            <w:tcW w:w="1800" w:type="dxa"/>
          </w:tcPr>
          <w:p w:rsidR="00BA13C8" w:rsidRPr="0003231B" w:rsidRDefault="00EA3C6C" w:rsidP="00BF1A17">
            <w:pPr>
              <w:jc w:val="center"/>
              <w:rPr>
                <w:rFonts w:cs="Arial"/>
                <w:szCs w:val="22"/>
                <w:lang w:eastAsia="en-US"/>
              </w:rPr>
            </w:pPr>
            <w:r w:rsidRPr="0003231B">
              <w:rPr>
                <w:rFonts w:cs="Arial"/>
                <w:szCs w:val="22"/>
                <w:lang w:eastAsia="en-US"/>
              </w:rPr>
              <w:t>1</w:t>
            </w:r>
          </w:p>
        </w:tc>
        <w:tc>
          <w:tcPr>
            <w:tcW w:w="1710" w:type="dxa"/>
          </w:tcPr>
          <w:p w:rsidR="00BA13C8" w:rsidRPr="0003231B" w:rsidRDefault="00EA3C6C" w:rsidP="00BF1A17">
            <w:pPr>
              <w:jc w:val="center"/>
              <w:rPr>
                <w:rFonts w:cs="Arial"/>
                <w:szCs w:val="22"/>
                <w:lang w:eastAsia="en-US"/>
              </w:rPr>
            </w:pPr>
            <w:r w:rsidRPr="0003231B">
              <w:rPr>
                <w:rFonts w:cs="Arial"/>
                <w:szCs w:val="22"/>
                <w:lang w:eastAsia="en-US"/>
              </w:rPr>
              <w:t>1</w:t>
            </w:r>
          </w:p>
        </w:tc>
        <w:tc>
          <w:tcPr>
            <w:tcW w:w="2160" w:type="dxa"/>
          </w:tcPr>
          <w:p w:rsidR="00BA13C8" w:rsidRPr="0003231B" w:rsidRDefault="00BA13C8" w:rsidP="00BF1A17">
            <w:pPr>
              <w:jc w:val="center"/>
              <w:rPr>
                <w:rFonts w:cs="Arial"/>
                <w:szCs w:val="22"/>
                <w:lang w:eastAsia="en-US"/>
              </w:rPr>
            </w:pPr>
          </w:p>
        </w:tc>
        <w:tc>
          <w:tcPr>
            <w:tcW w:w="1046" w:type="dxa"/>
          </w:tcPr>
          <w:p w:rsidR="00BA13C8" w:rsidRPr="0003231B" w:rsidRDefault="00BA13C8" w:rsidP="00BF1A17">
            <w:pPr>
              <w:jc w:val="center"/>
              <w:rPr>
                <w:rFonts w:cs="Arial"/>
                <w:szCs w:val="22"/>
                <w:lang w:eastAsia="en-US"/>
              </w:rPr>
            </w:pPr>
          </w:p>
        </w:tc>
      </w:tr>
      <w:tr w:rsidR="00BA13C8" w:rsidTr="0003231B">
        <w:tc>
          <w:tcPr>
            <w:tcW w:w="1278" w:type="dxa"/>
          </w:tcPr>
          <w:p w:rsidR="00BA13C8" w:rsidRPr="0003231B" w:rsidRDefault="00FB2FA8" w:rsidP="00BA13C8">
            <w:pPr>
              <w:rPr>
                <w:rFonts w:cs="Arial"/>
                <w:szCs w:val="22"/>
                <w:lang w:eastAsia="en-US"/>
              </w:rPr>
            </w:pPr>
            <w:r w:rsidRPr="0003231B">
              <w:rPr>
                <w:rFonts w:cs="Arial"/>
                <w:szCs w:val="22"/>
                <w:lang w:eastAsia="en-US"/>
              </w:rPr>
              <w:t>2014 - 15</w:t>
            </w:r>
          </w:p>
        </w:tc>
        <w:tc>
          <w:tcPr>
            <w:tcW w:w="1170" w:type="dxa"/>
          </w:tcPr>
          <w:p w:rsidR="00BA13C8" w:rsidRPr="0003231B" w:rsidRDefault="00BF1A17" w:rsidP="00BF1A17">
            <w:pPr>
              <w:jc w:val="center"/>
              <w:rPr>
                <w:rFonts w:cs="Arial"/>
                <w:szCs w:val="22"/>
                <w:lang w:eastAsia="en-US"/>
              </w:rPr>
            </w:pPr>
            <w:r w:rsidRPr="0003231B">
              <w:rPr>
                <w:rFonts w:cs="Arial"/>
                <w:szCs w:val="22"/>
                <w:lang w:eastAsia="en-US"/>
              </w:rPr>
              <w:t>9</w:t>
            </w:r>
          </w:p>
        </w:tc>
        <w:tc>
          <w:tcPr>
            <w:tcW w:w="1800" w:type="dxa"/>
          </w:tcPr>
          <w:p w:rsidR="00BA13C8" w:rsidRPr="0003231B" w:rsidRDefault="00BF1A17" w:rsidP="00BF1A17">
            <w:pPr>
              <w:jc w:val="center"/>
              <w:rPr>
                <w:rFonts w:cs="Arial"/>
                <w:szCs w:val="22"/>
                <w:lang w:eastAsia="en-US"/>
              </w:rPr>
            </w:pPr>
            <w:r w:rsidRPr="0003231B">
              <w:rPr>
                <w:rFonts w:cs="Arial"/>
                <w:szCs w:val="22"/>
                <w:lang w:eastAsia="en-US"/>
              </w:rPr>
              <w:t>6</w:t>
            </w:r>
          </w:p>
        </w:tc>
        <w:tc>
          <w:tcPr>
            <w:tcW w:w="1710" w:type="dxa"/>
          </w:tcPr>
          <w:p w:rsidR="00BA13C8" w:rsidRPr="0003231B" w:rsidRDefault="00BF1A17" w:rsidP="00BF1A17">
            <w:pPr>
              <w:jc w:val="center"/>
              <w:rPr>
                <w:rFonts w:cs="Arial"/>
                <w:szCs w:val="22"/>
                <w:lang w:eastAsia="en-US"/>
              </w:rPr>
            </w:pPr>
            <w:r w:rsidRPr="0003231B">
              <w:rPr>
                <w:rFonts w:cs="Arial"/>
                <w:szCs w:val="22"/>
                <w:lang w:eastAsia="en-US"/>
              </w:rPr>
              <w:t>1</w:t>
            </w:r>
          </w:p>
        </w:tc>
        <w:tc>
          <w:tcPr>
            <w:tcW w:w="2160" w:type="dxa"/>
          </w:tcPr>
          <w:p w:rsidR="00BA13C8" w:rsidRPr="0003231B" w:rsidRDefault="00BF1A17" w:rsidP="00BF1A17">
            <w:pPr>
              <w:jc w:val="center"/>
              <w:rPr>
                <w:rFonts w:cs="Arial"/>
                <w:szCs w:val="22"/>
                <w:lang w:eastAsia="en-US"/>
              </w:rPr>
            </w:pPr>
            <w:r w:rsidRPr="0003231B">
              <w:rPr>
                <w:rFonts w:cs="Arial"/>
                <w:szCs w:val="22"/>
                <w:lang w:eastAsia="en-US"/>
              </w:rPr>
              <w:t>1</w:t>
            </w:r>
          </w:p>
        </w:tc>
        <w:tc>
          <w:tcPr>
            <w:tcW w:w="1046" w:type="dxa"/>
          </w:tcPr>
          <w:p w:rsidR="00BA13C8" w:rsidRPr="0003231B" w:rsidRDefault="00BF1A17" w:rsidP="00BF1A17">
            <w:pPr>
              <w:jc w:val="center"/>
              <w:rPr>
                <w:rFonts w:cs="Arial"/>
                <w:szCs w:val="22"/>
                <w:lang w:eastAsia="en-US"/>
              </w:rPr>
            </w:pPr>
            <w:r w:rsidRPr="0003231B">
              <w:rPr>
                <w:rFonts w:cs="Arial"/>
                <w:szCs w:val="22"/>
                <w:lang w:eastAsia="en-US"/>
              </w:rPr>
              <w:t>1</w:t>
            </w:r>
          </w:p>
        </w:tc>
      </w:tr>
      <w:tr w:rsidR="00BA13C8" w:rsidTr="0003231B">
        <w:tc>
          <w:tcPr>
            <w:tcW w:w="1278" w:type="dxa"/>
            <w:tcBorders>
              <w:bottom w:val="single" w:sz="4" w:space="0" w:color="auto"/>
            </w:tcBorders>
          </w:tcPr>
          <w:p w:rsidR="00BA13C8" w:rsidRPr="0003231B" w:rsidRDefault="00FB2FA8" w:rsidP="00BA13C8">
            <w:pPr>
              <w:rPr>
                <w:rFonts w:cs="Arial"/>
                <w:szCs w:val="22"/>
                <w:lang w:eastAsia="en-US"/>
              </w:rPr>
            </w:pPr>
            <w:r w:rsidRPr="0003231B">
              <w:rPr>
                <w:rFonts w:cs="Arial"/>
                <w:szCs w:val="22"/>
                <w:lang w:eastAsia="en-US"/>
              </w:rPr>
              <w:lastRenderedPageBreak/>
              <w:t>2015 - 16</w:t>
            </w:r>
          </w:p>
        </w:tc>
        <w:tc>
          <w:tcPr>
            <w:tcW w:w="1170" w:type="dxa"/>
            <w:tcBorders>
              <w:bottom w:val="single" w:sz="4" w:space="0" w:color="auto"/>
            </w:tcBorders>
          </w:tcPr>
          <w:p w:rsidR="00BA13C8" w:rsidRPr="0003231B" w:rsidRDefault="00FB2FA8" w:rsidP="00BF1A17">
            <w:pPr>
              <w:jc w:val="center"/>
              <w:rPr>
                <w:rFonts w:cs="Arial"/>
                <w:szCs w:val="22"/>
                <w:lang w:eastAsia="en-US"/>
              </w:rPr>
            </w:pPr>
            <w:r w:rsidRPr="0003231B">
              <w:rPr>
                <w:rFonts w:cs="Arial"/>
                <w:szCs w:val="22"/>
                <w:lang w:eastAsia="en-US"/>
              </w:rPr>
              <w:t>1</w:t>
            </w:r>
          </w:p>
        </w:tc>
        <w:tc>
          <w:tcPr>
            <w:tcW w:w="1800" w:type="dxa"/>
            <w:tcBorders>
              <w:bottom w:val="single" w:sz="4" w:space="0" w:color="auto"/>
            </w:tcBorders>
          </w:tcPr>
          <w:p w:rsidR="00BA13C8" w:rsidRPr="0003231B" w:rsidRDefault="00FB2FA8" w:rsidP="00BF1A17">
            <w:pPr>
              <w:jc w:val="center"/>
              <w:rPr>
                <w:rFonts w:cs="Arial"/>
                <w:szCs w:val="22"/>
                <w:lang w:eastAsia="en-US"/>
              </w:rPr>
            </w:pPr>
            <w:r w:rsidRPr="0003231B">
              <w:rPr>
                <w:rFonts w:cs="Arial"/>
                <w:szCs w:val="22"/>
                <w:lang w:eastAsia="en-US"/>
              </w:rPr>
              <w:t>1</w:t>
            </w:r>
          </w:p>
        </w:tc>
        <w:tc>
          <w:tcPr>
            <w:tcW w:w="1710" w:type="dxa"/>
            <w:tcBorders>
              <w:bottom w:val="single" w:sz="4" w:space="0" w:color="auto"/>
            </w:tcBorders>
          </w:tcPr>
          <w:p w:rsidR="00BA13C8" w:rsidRPr="0003231B" w:rsidRDefault="00BA13C8" w:rsidP="00BF1A17">
            <w:pPr>
              <w:jc w:val="center"/>
              <w:rPr>
                <w:rFonts w:cs="Arial"/>
                <w:szCs w:val="22"/>
                <w:lang w:eastAsia="en-US"/>
              </w:rPr>
            </w:pPr>
          </w:p>
        </w:tc>
        <w:tc>
          <w:tcPr>
            <w:tcW w:w="2160" w:type="dxa"/>
            <w:tcBorders>
              <w:bottom w:val="single" w:sz="4" w:space="0" w:color="auto"/>
            </w:tcBorders>
          </w:tcPr>
          <w:p w:rsidR="00BA13C8" w:rsidRPr="0003231B" w:rsidRDefault="00BA13C8" w:rsidP="00BF1A17">
            <w:pPr>
              <w:jc w:val="center"/>
              <w:rPr>
                <w:rFonts w:cs="Arial"/>
                <w:szCs w:val="22"/>
                <w:lang w:eastAsia="en-US"/>
              </w:rPr>
            </w:pPr>
          </w:p>
        </w:tc>
        <w:tc>
          <w:tcPr>
            <w:tcW w:w="1046" w:type="dxa"/>
            <w:tcBorders>
              <w:bottom w:val="single" w:sz="4" w:space="0" w:color="auto"/>
            </w:tcBorders>
          </w:tcPr>
          <w:p w:rsidR="00BA13C8" w:rsidRPr="0003231B" w:rsidRDefault="00BA13C8" w:rsidP="00BF1A17">
            <w:pPr>
              <w:jc w:val="center"/>
              <w:rPr>
                <w:rFonts w:cs="Arial"/>
                <w:szCs w:val="22"/>
                <w:lang w:eastAsia="en-US"/>
              </w:rPr>
            </w:pPr>
          </w:p>
        </w:tc>
      </w:tr>
      <w:tr w:rsidR="00BA13C8" w:rsidTr="0003231B">
        <w:tc>
          <w:tcPr>
            <w:tcW w:w="1278" w:type="dxa"/>
            <w:shd w:val="clear" w:color="auto" w:fill="FABF8F" w:themeFill="accent6" w:themeFillTint="99"/>
          </w:tcPr>
          <w:p w:rsidR="00BA13C8" w:rsidRPr="0003231B" w:rsidRDefault="00BF1A17" w:rsidP="00BA13C8">
            <w:pPr>
              <w:rPr>
                <w:rFonts w:cs="Arial"/>
                <w:b/>
                <w:szCs w:val="22"/>
                <w:lang w:eastAsia="en-US"/>
              </w:rPr>
            </w:pPr>
            <w:r w:rsidRPr="0003231B">
              <w:rPr>
                <w:rFonts w:cs="Arial"/>
                <w:b/>
                <w:szCs w:val="22"/>
                <w:lang w:eastAsia="en-US"/>
              </w:rPr>
              <w:t>TOTAL</w:t>
            </w:r>
          </w:p>
        </w:tc>
        <w:tc>
          <w:tcPr>
            <w:tcW w:w="1170" w:type="dxa"/>
            <w:shd w:val="clear" w:color="auto" w:fill="FABF8F" w:themeFill="accent6" w:themeFillTint="99"/>
          </w:tcPr>
          <w:p w:rsidR="00BA13C8" w:rsidRPr="0003231B" w:rsidRDefault="00BF1A17" w:rsidP="00BF1A17">
            <w:pPr>
              <w:jc w:val="center"/>
              <w:rPr>
                <w:rFonts w:cs="Arial"/>
                <w:b/>
                <w:szCs w:val="22"/>
                <w:lang w:eastAsia="en-US"/>
              </w:rPr>
            </w:pPr>
            <w:r w:rsidRPr="0003231B">
              <w:rPr>
                <w:rFonts w:cs="Arial"/>
                <w:b/>
                <w:szCs w:val="22"/>
                <w:lang w:eastAsia="en-US"/>
              </w:rPr>
              <w:t>28</w:t>
            </w:r>
          </w:p>
        </w:tc>
        <w:tc>
          <w:tcPr>
            <w:tcW w:w="1800" w:type="dxa"/>
            <w:shd w:val="clear" w:color="auto" w:fill="FABF8F" w:themeFill="accent6" w:themeFillTint="99"/>
          </w:tcPr>
          <w:p w:rsidR="00BA13C8" w:rsidRPr="0003231B" w:rsidRDefault="00BF1A17" w:rsidP="00BF1A17">
            <w:pPr>
              <w:jc w:val="center"/>
              <w:rPr>
                <w:rFonts w:cs="Arial"/>
                <w:b/>
                <w:szCs w:val="22"/>
                <w:lang w:eastAsia="en-US"/>
              </w:rPr>
            </w:pPr>
            <w:r w:rsidRPr="0003231B">
              <w:rPr>
                <w:rFonts w:cs="Arial"/>
                <w:b/>
                <w:szCs w:val="22"/>
                <w:lang w:eastAsia="en-US"/>
              </w:rPr>
              <w:t>20</w:t>
            </w:r>
          </w:p>
        </w:tc>
        <w:tc>
          <w:tcPr>
            <w:tcW w:w="1710" w:type="dxa"/>
            <w:shd w:val="clear" w:color="auto" w:fill="FABF8F" w:themeFill="accent6" w:themeFillTint="99"/>
          </w:tcPr>
          <w:p w:rsidR="00BA13C8" w:rsidRPr="0003231B" w:rsidRDefault="00BF1A17" w:rsidP="00BF1A17">
            <w:pPr>
              <w:jc w:val="center"/>
              <w:rPr>
                <w:rFonts w:cs="Arial"/>
                <w:b/>
                <w:szCs w:val="22"/>
                <w:lang w:eastAsia="en-US"/>
              </w:rPr>
            </w:pPr>
            <w:r w:rsidRPr="0003231B">
              <w:rPr>
                <w:rFonts w:cs="Arial"/>
                <w:b/>
                <w:szCs w:val="22"/>
                <w:lang w:eastAsia="en-US"/>
              </w:rPr>
              <w:t>4</w:t>
            </w:r>
          </w:p>
        </w:tc>
        <w:tc>
          <w:tcPr>
            <w:tcW w:w="2160" w:type="dxa"/>
            <w:shd w:val="clear" w:color="auto" w:fill="FABF8F" w:themeFill="accent6" w:themeFillTint="99"/>
          </w:tcPr>
          <w:p w:rsidR="00BA13C8" w:rsidRPr="0003231B" w:rsidRDefault="00BF1A17" w:rsidP="00BF1A17">
            <w:pPr>
              <w:jc w:val="center"/>
              <w:rPr>
                <w:rFonts w:cs="Arial"/>
                <w:b/>
                <w:szCs w:val="22"/>
                <w:lang w:eastAsia="en-US"/>
              </w:rPr>
            </w:pPr>
            <w:r w:rsidRPr="0003231B">
              <w:rPr>
                <w:rFonts w:cs="Arial"/>
                <w:b/>
                <w:szCs w:val="22"/>
                <w:lang w:eastAsia="en-US"/>
              </w:rPr>
              <w:t>2</w:t>
            </w:r>
          </w:p>
        </w:tc>
        <w:tc>
          <w:tcPr>
            <w:tcW w:w="1046" w:type="dxa"/>
            <w:shd w:val="clear" w:color="auto" w:fill="FABF8F" w:themeFill="accent6" w:themeFillTint="99"/>
          </w:tcPr>
          <w:p w:rsidR="00BA13C8" w:rsidRPr="0003231B" w:rsidRDefault="00BF1A17" w:rsidP="00BF1A17">
            <w:pPr>
              <w:jc w:val="center"/>
              <w:rPr>
                <w:rFonts w:cs="Arial"/>
                <w:b/>
                <w:szCs w:val="22"/>
                <w:lang w:eastAsia="en-US"/>
              </w:rPr>
            </w:pPr>
            <w:r w:rsidRPr="0003231B">
              <w:rPr>
                <w:rFonts w:cs="Arial"/>
                <w:b/>
                <w:szCs w:val="22"/>
                <w:lang w:eastAsia="en-US"/>
              </w:rPr>
              <w:t>2</w:t>
            </w:r>
          </w:p>
        </w:tc>
      </w:tr>
    </w:tbl>
    <w:p w:rsidR="009922B3" w:rsidRDefault="009922B3" w:rsidP="009922B3">
      <w:pPr>
        <w:ind w:left="720"/>
        <w:rPr>
          <w:rFonts w:cs="Arial"/>
          <w:sz w:val="24"/>
          <w:szCs w:val="24"/>
          <w:lang w:eastAsia="en-US"/>
        </w:rPr>
      </w:pPr>
    </w:p>
    <w:p w:rsidR="009922B3" w:rsidRPr="009922B3" w:rsidRDefault="009922B3" w:rsidP="009922B3">
      <w:pPr>
        <w:ind w:left="720"/>
        <w:rPr>
          <w:rFonts w:cs="Arial"/>
          <w:sz w:val="24"/>
          <w:szCs w:val="24"/>
          <w:lang w:val="en-US" w:eastAsia="en-US"/>
        </w:rPr>
      </w:pPr>
      <w:r>
        <w:rPr>
          <w:rFonts w:cs="Arial"/>
          <w:sz w:val="24"/>
          <w:szCs w:val="24"/>
          <w:lang w:eastAsia="en-US"/>
        </w:rPr>
        <w:t xml:space="preserve">From these statistics </w:t>
      </w:r>
      <w:r>
        <w:rPr>
          <w:rFonts w:cs="Arial"/>
          <w:sz w:val="24"/>
          <w:szCs w:val="24"/>
          <w:lang w:val="en-US" w:eastAsia="en-US"/>
        </w:rPr>
        <w:t>seven</w:t>
      </w:r>
      <w:r w:rsidRPr="009922B3">
        <w:rPr>
          <w:rFonts w:cs="Arial"/>
          <w:sz w:val="24"/>
          <w:szCs w:val="24"/>
          <w:lang w:val="en-US" w:eastAsia="en-US"/>
        </w:rPr>
        <w:t xml:space="preserve"> </w:t>
      </w:r>
      <w:r>
        <w:rPr>
          <w:rFonts w:cs="Arial"/>
          <w:sz w:val="24"/>
          <w:szCs w:val="24"/>
          <w:lang w:val="en-US" w:eastAsia="en-US"/>
        </w:rPr>
        <w:t>individuals are former</w:t>
      </w:r>
      <w:r w:rsidRPr="009922B3">
        <w:rPr>
          <w:rFonts w:cs="Arial"/>
          <w:sz w:val="24"/>
          <w:szCs w:val="24"/>
          <w:lang w:val="en-US" w:eastAsia="en-US"/>
        </w:rPr>
        <w:t xml:space="preserve"> employees of </w:t>
      </w:r>
      <w:r>
        <w:rPr>
          <w:rFonts w:cs="Arial"/>
          <w:sz w:val="24"/>
          <w:szCs w:val="24"/>
          <w:lang w:val="en-US" w:eastAsia="en-US"/>
        </w:rPr>
        <w:t>the DPW.</w:t>
      </w:r>
      <w:r w:rsidRPr="009922B3">
        <w:rPr>
          <w:rFonts w:cs="Arial"/>
          <w:sz w:val="24"/>
          <w:szCs w:val="24"/>
          <w:lang w:val="en-US" w:eastAsia="en-US"/>
        </w:rPr>
        <w:t xml:space="preserve"> </w:t>
      </w:r>
      <w:r>
        <w:rPr>
          <w:rFonts w:cs="Arial"/>
          <w:sz w:val="24"/>
          <w:szCs w:val="24"/>
          <w:lang w:val="en-US" w:eastAsia="en-US"/>
        </w:rPr>
        <w:t xml:space="preserve">Three resigned and four </w:t>
      </w:r>
      <w:r w:rsidRPr="009922B3">
        <w:rPr>
          <w:rFonts w:cs="Arial"/>
          <w:sz w:val="24"/>
          <w:szCs w:val="24"/>
          <w:lang w:val="en-US" w:eastAsia="en-US"/>
        </w:rPr>
        <w:t xml:space="preserve">were dismissed after being found guilty of misconduct in internal disciplinary hearings. </w:t>
      </w:r>
    </w:p>
    <w:p w:rsidR="009922B3" w:rsidRPr="009922B3" w:rsidRDefault="009922B3" w:rsidP="009922B3">
      <w:pPr>
        <w:ind w:left="720"/>
        <w:rPr>
          <w:rFonts w:cs="Arial"/>
          <w:sz w:val="24"/>
          <w:szCs w:val="24"/>
          <w:lang w:val="en-US" w:eastAsia="en-US"/>
        </w:rPr>
      </w:pPr>
    </w:p>
    <w:p w:rsidR="00BA13C8" w:rsidRDefault="009922B3" w:rsidP="009922B3">
      <w:pPr>
        <w:ind w:left="720"/>
        <w:rPr>
          <w:rFonts w:cs="Arial"/>
          <w:sz w:val="24"/>
          <w:szCs w:val="24"/>
          <w:lang w:val="en-US" w:eastAsia="en-US"/>
        </w:rPr>
      </w:pPr>
      <w:r>
        <w:rPr>
          <w:rFonts w:cs="Arial"/>
          <w:sz w:val="24"/>
          <w:szCs w:val="24"/>
          <w:lang w:val="en-US" w:eastAsia="en-US"/>
        </w:rPr>
        <w:t>In</w:t>
      </w:r>
      <w:r w:rsidRPr="009922B3">
        <w:rPr>
          <w:rFonts w:cs="Arial"/>
          <w:sz w:val="24"/>
          <w:szCs w:val="24"/>
          <w:lang w:val="en-US" w:eastAsia="en-US"/>
        </w:rPr>
        <w:t xml:space="preserve"> one of the cases registered with </w:t>
      </w:r>
      <w:r>
        <w:rPr>
          <w:rFonts w:cs="Arial"/>
          <w:sz w:val="24"/>
          <w:szCs w:val="24"/>
          <w:lang w:val="en-US" w:eastAsia="en-US"/>
        </w:rPr>
        <w:t xml:space="preserve">the </w:t>
      </w:r>
      <w:r w:rsidRPr="009922B3">
        <w:rPr>
          <w:rFonts w:cs="Arial"/>
          <w:sz w:val="24"/>
          <w:szCs w:val="24"/>
          <w:lang w:val="en-US" w:eastAsia="en-US"/>
        </w:rPr>
        <w:t xml:space="preserve">SAPS </w:t>
      </w:r>
      <w:r>
        <w:rPr>
          <w:rFonts w:cs="Arial"/>
          <w:sz w:val="24"/>
          <w:szCs w:val="24"/>
          <w:lang w:val="en-US" w:eastAsia="en-US"/>
        </w:rPr>
        <w:t>the person is still under the employment of the DPW.</w:t>
      </w:r>
    </w:p>
    <w:p w:rsidR="009922B3" w:rsidRDefault="009922B3" w:rsidP="009922B3">
      <w:pPr>
        <w:rPr>
          <w:rFonts w:cs="Arial"/>
          <w:sz w:val="24"/>
          <w:szCs w:val="24"/>
          <w:lang w:val="en-US" w:eastAsia="en-US"/>
        </w:rPr>
      </w:pPr>
    </w:p>
    <w:p w:rsidR="009922B3" w:rsidRDefault="009922B3" w:rsidP="009922B3">
      <w:pPr>
        <w:rPr>
          <w:rFonts w:cs="Arial"/>
          <w:sz w:val="24"/>
          <w:szCs w:val="24"/>
          <w:lang w:val="en-US" w:eastAsia="en-US"/>
        </w:rPr>
      </w:pPr>
      <w:r>
        <w:rPr>
          <w:rFonts w:cs="Arial"/>
          <w:sz w:val="24"/>
          <w:szCs w:val="24"/>
          <w:lang w:val="en-US" w:eastAsia="en-US"/>
        </w:rPr>
        <w:t>(b)</w:t>
      </w:r>
      <w:r>
        <w:rPr>
          <w:rFonts w:cs="Arial"/>
          <w:sz w:val="24"/>
          <w:szCs w:val="24"/>
          <w:lang w:val="en-US" w:eastAsia="en-US"/>
        </w:rPr>
        <w:tab/>
        <w:t>The cases were investigated by the Special Investigating Unit.</w:t>
      </w:r>
    </w:p>
    <w:p w:rsidR="009922B3" w:rsidRDefault="009922B3" w:rsidP="009922B3">
      <w:pPr>
        <w:rPr>
          <w:rFonts w:cs="Arial"/>
          <w:sz w:val="24"/>
          <w:szCs w:val="24"/>
          <w:lang w:val="en-US" w:eastAsia="en-US"/>
        </w:rPr>
      </w:pPr>
    </w:p>
    <w:p w:rsidR="009922B3" w:rsidRDefault="009922B3" w:rsidP="009922B3">
      <w:pPr>
        <w:rPr>
          <w:rFonts w:cs="Arial"/>
          <w:sz w:val="24"/>
          <w:szCs w:val="24"/>
          <w:lang w:val="en-US" w:eastAsia="en-US"/>
        </w:rPr>
      </w:pPr>
      <w:r>
        <w:rPr>
          <w:rFonts w:cs="Arial"/>
          <w:sz w:val="24"/>
          <w:szCs w:val="24"/>
          <w:lang w:val="en-US" w:eastAsia="en-US"/>
        </w:rPr>
        <w:t>(c)</w:t>
      </w:r>
      <w:r>
        <w:rPr>
          <w:rFonts w:cs="Arial"/>
          <w:sz w:val="24"/>
          <w:szCs w:val="24"/>
          <w:lang w:val="en-US" w:eastAsia="en-US"/>
        </w:rPr>
        <w:tab/>
        <w:t>Falls away.</w:t>
      </w:r>
    </w:p>
    <w:p w:rsidR="009922B3" w:rsidRPr="00BA13C8" w:rsidRDefault="009922B3" w:rsidP="009922B3">
      <w:pPr>
        <w:rPr>
          <w:rFonts w:cs="Arial"/>
          <w:sz w:val="24"/>
          <w:szCs w:val="24"/>
          <w:lang w:eastAsia="en-US"/>
        </w:rPr>
      </w:pPr>
      <w:r>
        <w:rPr>
          <w:rFonts w:cs="Arial"/>
          <w:sz w:val="24"/>
          <w:szCs w:val="24"/>
          <w:lang w:val="en-US" w:eastAsia="en-US"/>
        </w:rPr>
        <w:t>________________________________________________________________________</w:t>
      </w:r>
    </w:p>
    <w:sectPr w:rsidR="009922B3" w:rsidRPr="00BA13C8" w:rsidSect="0003231B">
      <w:headerReference w:type="default" r:id="rId10"/>
      <w:footerReference w:type="default" r:id="rId11"/>
      <w:pgSz w:w="12240" w:h="15840"/>
      <w:pgMar w:top="0" w:right="1041" w:bottom="180"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CA" w:rsidRDefault="009418CA" w:rsidP="00B01072">
      <w:r>
        <w:separator/>
      </w:r>
    </w:p>
  </w:endnote>
  <w:endnote w:type="continuationSeparator" w:id="0">
    <w:p w:rsidR="009418CA" w:rsidRDefault="009418C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E92961">
      <w:rPr>
        <w:rFonts w:cs="Arial"/>
        <w:b/>
        <w:sz w:val="20"/>
        <w:lang w:val="af-ZA" w:eastAsia="en-US"/>
      </w:rPr>
      <w:t>813</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CC6811">
      <w:rPr>
        <w:rFonts w:eastAsiaTheme="majorEastAsia" w:cs="Arial"/>
        <w:b/>
        <w:sz w:val="18"/>
        <w:szCs w:val="18"/>
      </w:rPr>
      <w:t xml:space="preserve">– </w:t>
    </w:r>
    <w:r w:rsidR="00CC6811" w:rsidRPr="00CC6811">
      <w:rPr>
        <w:rFonts w:eastAsia="Calibri" w:cs="Arial"/>
        <w:b/>
        <w:sz w:val="18"/>
        <w:szCs w:val="18"/>
        <w:lang w:val="af-ZA" w:eastAsia="en-US"/>
      </w:rPr>
      <w:t>Ms D Kohler (DA)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FF15F9" w:rsidRPr="00FF15F9">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FF15F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CA" w:rsidRDefault="009418CA" w:rsidP="00B01072">
      <w:r>
        <w:separator/>
      </w:r>
    </w:p>
  </w:footnote>
  <w:footnote w:type="continuationSeparator" w:id="0">
    <w:p w:rsidR="009418CA" w:rsidRDefault="009418C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714BCC"/>
    <w:multiLevelType w:val="hybridMultilevel"/>
    <w:tmpl w:val="CBCE410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6">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8">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7">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0"/>
  </w:num>
  <w:num w:numId="2">
    <w:abstractNumId w:val="30"/>
  </w:num>
  <w:num w:numId="3">
    <w:abstractNumId w:val="30"/>
  </w:num>
  <w:num w:numId="4">
    <w:abstractNumId w:val="37"/>
  </w:num>
  <w:num w:numId="5">
    <w:abstractNumId w:val="20"/>
  </w:num>
  <w:num w:numId="6">
    <w:abstractNumId w:val="5"/>
  </w:num>
  <w:num w:numId="7">
    <w:abstractNumId w:val="27"/>
  </w:num>
  <w:num w:numId="8">
    <w:abstractNumId w:val="15"/>
  </w:num>
  <w:num w:numId="9">
    <w:abstractNumId w:val="32"/>
  </w:num>
  <w:num w:numId="10">
    <w:abstractNumId w:val="16"/>
  </w:num>
  <w:num w:numId="11">
    <w:abstractNumId w:val="33"/>
  </w:num>
  <w:num w:numId="12">
    <w:abstractNumId w:val="9"/>
  </w:num>
  <w:num w:numId="13">
    <w:abstractNumId w:val="17"/>
  </w:num>
  <w:num w:numId="14">
    <w:abstractNumId w:val="36"/>
  </w:num>
  <w:num w:numId="15">
    <w:abstractNumId w:val="3"/>
  </w:num>
  <w:num w:numId="16">
    <w:abstractNumId w:val="7"/>
  </w:num>
  <w:num w:numId="17">
    <w:abstractNumId w:val="31"/>
  </w:num>
  <w:num w:numId="18">
    <w:abstractNumId w:val="34"/>
  </w:num>
  <w:num w:numId="19">
    <w:abstractNumId w:val="18"/>
  </w:num>
  <w:num w:numId="20">
    <w:abstractNumId w:val="6"/>
  </w:num>
  <w:num w:numId="21">
    <w:abstractNumId w:val="24"/>
  </w:num>
  <w:num w:numId="22">
    <w:abstractNumId w:val="4"/>
  </w:num>
  <w:num w:numId="23">
    <w:abstractNumId w:val="35"/>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12"/>
  </w:num>
  <w:num w:numId="29">
    <w:abstractNumId w:val="11"/>
  </w:num>
  <w:num w:numId="30">
    <w:abstractNumId w:val="29"/>
  </w:num>
  <w:num w:numId="31">
    <w:abstractNumId w:val="25"/>
  </w:num>
  <w:num w:numId="32">
    <w:abstractNumId w:val="26"/>
  </w:num>
  <w:num w:numId="33">
    <w:abstractNumId w:val="22"/>
  </w:num>
  <w:num w:numId="34">
    <w:abstractNumId w:val="19"/>
  </w:num>
  <w:num w:numId="35">
    <w:abstractNumId w:val="13"/>
  </w:num>
  <w:num w:numId="36">
    <w:abstractNumId w:val="0"/>
  </w:num>
  <w:num w:numId="37">
    <w:abstractNumId w:val="1"/>
  </w:num>
  <w:num w:numId="38">
    <w:abstractNumId w:val="2"/>
  </w:num>
  <w:num w:numId="39">
    <w:abstractNumId w:val="1"/>
  </w:num>
  <w:num w:numId="40">
    <w:abstractNumId w:val="2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4"/>
    <w:rsid w:val="000012D9"/>
    <w:rsid w:val="00001459"/>
    <w:rsid w:val="00006F15"/>
    <w:rsid w:val="00012BEB"/>
    <w:rsid w:val="000173E2"/>
    <w:rsid w:val="000205FB"/>
    <w:rsid w:val="00020C71"/>
    <w:rsid w:val="00020EBB"/>
    <w:rsid w:val="00021C96"/>
    <w:rsid w:val="00021CD9"/>
    <w:rsid w:val="00022D2D"/>
    <w:rsid w:val="0003231B"/>
    <w:rsid w:val="00041696"/>
    <w:rsid w:val="00045D9F"/>
    <w:rsid w:val="000528E1"/>
    <w:rsid w:val="000574C9"/>
    <w:rsid w:val="00063548"/>
    <w:rsid w:val="000656CA"/>
    <w:rsid w:val="00070C85"/>
    <w:rsid w:val="00074F49"/>
    <w:rsid w:val="00081358"/>
    <w:rsid w:val="00095FFF"/>
    <w:rsid w:val="0009751E"/>
    <w:rsid w:val="000A08C0"/>
    <w:rsid w:val="000B1923"/>
    <w:rsid w:val="000B4241"/>
    <w:rsid w:val="000B4F40"/>
    <w:rsid w:val="000C70FB"/>
    <w:rsid w:val="000D1486"/>
    <w:rsid w:val="000D3F7C"/>
    <w:rsid w:val="000D41E1"/>
    <w:rsid w:val="000D5A5D"/>
    <w:rsid w:val="000D600B"/>
    <w:rsid w:val="000E0C57"/>
    <w:rsid w:val="00107822"/>
    <w:rsid w:val="00110781"/>
    <w:rsid w:val="00111AB1"/>
    <w:rsid w:val="00123E02"/>
    <w:rsid w:val="00125195"/>
    <w:rsid w:val="00131356"/>
    <w:rsid w:val="001340CE"/>
    <w:rsid w:val="00140E93"/>
    <w:rsid w:val="001449BF"/>
    <w:rsid w:val="00152C01"/>
    <w:rsid w:val="00162A0F"/>
    <w:rsid w:val="001651D8"/>
    <w:rsid w:val="001729E9"/>
    <w:rsid w:val="00177367"/>
    <w:rsid w:val="001833AC"/>
    <w:rsid w:val="00186B9A"/>
    <w:rsid w:val="001A22C6"/>
    <w:rsid w:val="001A5AFF"/>
    <w:rsid w:val="001B77CD"/>
    <w:rsid w:val="001C2A53"/>
    <w:rsid w:val="001C2B34"/>
    <w:rsid w:val="001C602F"/>
    <w:rsid w:val="001C6CA1"/>
    <w:rsid w:val="001E486F"/>
    <w:rsid w:val="001F0D11"/>
    <w:rsid w:val="001F1F16"/>
    <w:rsid w:val="00203E0F"/>
    <w:rsid w:val="00206C11"/>
    <w:rsid w:val="002229B7"/>
    <w:rsid w:val="002265CB"/>
    <w:rsid w:val="0023195F"/>
    <w:rsid w:val="00232D48"/>
    <w:rsid w:val="0023448E"/>
    <w:rsid w:val="00243357"/>
    <w:rsid w:val="00255225"/>
    <w:rsid w:val="00263A84"/>
    <w:rsid w:val="00275F2F"/>
    <w:rsid w:val="00291BC2"/>
    <w:rsid w:val="00294275"/>
    <w:rsid w:val="002A5D13"/>
    <w:rsid w:val="002B2F32"/>
    <w:rsid w:val="002C175C"/>
    <w:rsid w:val="002C603A"/>
    <w:rsid w:val="002C7394"/>
    <w:rsid w:val="002D4F46"/>
    <w:rsid w:val="003074FB"/>
    <w:rsid w:val="00307BEC"/>
    <w:rsid w:val="00321FAA"/>
    <w:rsid w:val="003241F6"/>
    <w:rsid w:val="00325E8F"/>
    <w:rsid w:val="00330E0B"/>
    <w:rsid w:val="00343207"/>
    <w:rsid w:val="00351A07"/>
    <w:rsid w:val="00352AC2"/>
    <w:rsid w:val="003563FA"/>
    <w:rsid w:val="0037086C"/>
    <w:rsid w:val="003718A9"/>
    <w:rsid w:val="003731CC"/>
    <w:rsid w:val="00382C94"/>
    <w:rsid w:val="00393240"/>
    <w:rsid w:val="003B0590"/>
    <w:rsid w:val="003D262F"/>
    <w:rsid w:val="003D3867"/>
    <w:rsid w:val="003D7908"/>
    <w:rsid w:val="003E5694"/>
    <w:rsid w:val="003F3ABB"/>
    <w:rsid w:val="003F628A"/>
    <w:rsid w:val="00413C62"/>
    <w:rsid w:val="00426848"/>
    <w:rsid w:val="00432C4E"/>
    <w:rsid w:val="004342FE"/>
    <w:rsid w:val="00435691"/>
    <w:rsid w:val="0044149F"/>
    <w:rsid w:val="00453445"/>
    <w:rsid w:val="004739D7"/>
    <w:rsid w:val="0049133C"/>
    <w:rsid w:val="00493FB3"/>
    <w:rsid w:val="0049710C"/>
    <w:rsid w:val="004C3C1E"/>
    <w:rsid w:val="004C5597"/>
    <w:rsid w:val="004C6EB7"/>
    <w:rsid w:val="004D2F24"/>
    <w:rsid w:val="004D48E8"/>
    <w:rsid w:val="004E4337"/>
    <w:rsid w:val="00501775"/>
    <w:rsid w:val="0052239F"/>
    <w:rsid w:val="0053382B"/>
    <w:rsid w:val="005449EC"/>
    <w:rsid w:val="00560E8F"/>
    <w:rsid w:val="00563D73"/>
    <w:rsid w:val="0057746F"/>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43C2"/>
    <w:rsid w:val="006462D7"/>
    <w:rsid w:val="006547B4"/>
    <w:rsid w:val="00670BA5"/>
    <w:rsid w:val="00675570"/>
    <w:rsid w:val="00684BB6"/>
    <w:rsid w:val="00685646"/>
    <w:rsid w:val="006A027A"/>
    <w:rsid w:val="006A05C9"/>
    <w:rsid w:val="006B79CB"/>
    <w:rsid w:val="006C0BAE"/>
    <w:rsid w:val="006C3E5B"/>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60756"/>
    <w:rsid w:val="00760875"/>
    <w:rsid w:val="00794233"/>
    <w:rsid w:val="007950DA"/>
    <w:rsid w:val="007A03D5"/>
    <w:rsid w:val="007E0072"/>
    <w:rsid w:val="007E3B7C"/>
    <w:rsid w:val="007E4E3E"/>
    <w:rsid w:val="007E63B3"/>
    <w:rsid w:val="008039CD"/>
    <w:rsid w:val="008232E5"/>
    <w:rsid w:val="00836EA6"/>
    <w:rsid w:val="00846104"/>
    <w:rsid w:val="00846C06"/>
    <w:rsid w:val="00850A5D"/>
    <w:rsid w:val="008717E7"/>
    <w:rsid w:val="00872446"/>
    <w:rsid w:val="00873D00"/>
    <w:rsid w:val="0088064A"/>
    <w:rsid w:val="00895B01"/>
    <w:rsid w:val="008A416E"/>
    <w:rsid w:val="008A7CC3"/>
    <w:rsid w:val="008B3660"/>
    <w:rsid w:val="008C472C"/>
    <w:rsid w:val="008D1494"/>
    <w:rsid w:val="008E4775"/>
    <w:rsid w:val="008F177A"/>
    <w:rsid w:val="009148F7"/>
    <w:rsid w:val="00916D71"/>
    <w:rsid w:val="00926BCD"/>
    <w:rsid w:val="00931388"/>
    <w:rsid w:val="00940E46"/>
    <w:rsid w:val="009418CA"/>
    <w:rsid w:val="00970F77"/>
    <w:rsid w:val="00976436"/>
    <w:rsid w:val="009776AC"/>
    <w:rsid w:val="00980BB4"/>
    <w:rsid w:val="009922B3"/>
    <w:rsid w:val="00997315"/>
    <w:rsid w:val="009A121F"/>
    <w:rsid w:val="009A34AE"/>
    <w:rsid w:val="009B418A"/>
    <w:rsid w:val="009B7DB2"/>
    <w:rsid w:val="009C7887"/>
    <w:rsid w:val="009F4EFA"/>
    <w:rsid w:val="00A213AD"/>
    <w:rsid w:val="00A23D03"/>
    <w:rsid w:val="00A24C08"/>
    <w:rsid w:val="00A4432D"/>
    <w:rsid w:val="00A46014"/>
    <w:rsid w:val="00A50E27"/>
    <w:rsid w:val="00A52976"/>
    <w:rsid w:val="00A5375C"/>
    <w:rsid w:val="00A70E0E"/>
    <w:rsid w:val="00A71939"/>
    <w:rsid w:val="00A7275E"/>
    <w:rsid w:val="00A74C8E"/>
    <w:rsid w:val="00A82594"/>
    <w:rsid w:val="00A83487"/>
    <w:rsid w:val="00A852C4"/>
    <w:rsid w:val="00A91F96"/>
    <w:rsid w:val="00AA56F8"/>
    <w:rsid w:val="00AB5D4C"/>
    <w:rsid w:val="00AD0F40"/>
    <w:rsid w:val="00AD36D1"/>
    <w:rsid w:val="00AE1CD0"/>
    <w:rsid w:val="00AE2E32"/>
    <w:rsid w:val="00AE3D8F"/>
    <w:rsid w:val="00B00665"/>
    <w:rsid w:val="00B00D22"/>
    <w:rsid w:val="00B01072"/>
    <w:rsid w:val="00B016B6"/>
    <w:rsid w:val="00B04C0E"/>
    <w:rsid w:val="00B32F50"/>
    <w:rsid w:val="00B40287"/>
    <w:rsid w:val="00B44E3D"/>
    <w:rsid w:val="00B76EA0"/>
    <w:rsid w:val="00B7781B"/>
    <w:rsid w:val="00BA13C8"/>
    <w:rsid w:val="00BB0CBD"/>
    <w:rsid w:val="00BD53C1"/>
    <w:rsid w:val="00BD6CA5"/>
    <w:rsid w:val="00BF1A17"/>
    <w:rsid w:val="00C143AE"/>
    <w:rsid w:val="00C143C0"/>
    <w:rsid w:val="00C16434"/>
    <w:rsid w:val="00C2072D"/>
    <w:rsid w:val="00C438C9"/>
    <w:rsid w:val="00C55CF0"/>
    <w:rsid w:val="00C734C8"/>
    <w:rsid w:val="00C94B70"/>
    <w:rsid w:val="00CA1ED8"/>
    <w:rsid w:val="00CC07E1"/>
    <w:rsid w:val="00CC255F"/>
    <w:rsid w:val="00CC2ECC"/>
    <w:rsid w:val="00CC6811"/>
    <w:rsid w:val="00CC69B7"/>
    <w:rsid w:val="00CE70D6"/>
    <w:rsid w:val="00CE752D"/>
    <w:rsid w:val="00D00A7D"/>
    <w:rsid w:val="00D14B85"/>
    <w:rsid w:val="00D26A6A"/>
    <w:rsid w:val="00D377B6"/>
    <w:rsid w:val="00D41166"/>
    <w:rsid w:val="00D42FF6"/>
    <w:rsid w:val="00D43797"/>
    <w:rsid w:val="00D51778"/>
    <w:rsid w:val="00D74A2D"/>
    <w:rsid w:val="00D82B08"/>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230C"/>
    <w:rsid w:val="00E526CF"/>
    <w:rsid w:val="00E60FD3"/>
    <w:rsid w:val="00E66692"/>
    <w:rsid w:val="00E74EEE"/>
    <w:rsid w:val="00E779E4"/>
    <w:rsid w:val="00E808B7"/>
    <w:rsid w:val="00E8666B"/>
    <w:rsid w:val="00E92961"/>
    <w:rsid w:val="00EA26C6"/>
    <w:rsid w:val="00EA3C6C"/>
    <w:rsid w:val="00EB2C0B"/>
    <w:rsid w:val="00EC4852"/>
    <w:rsid w:val="00ED18ED"/>
    <w:rsid w:val="00ED4290"/>
    <w:rsid w:val="00EE2AEC"/>
    <w:rsid w:val="00EE465F"/>
    <w:rsid w:val="00EE6DFC"/>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57C59"/>
    <w:rsid w:val="00F63F16"/>
    <w:rsid w:val="00F73C7B"/>
    <w:rsid w:val="00F8042B"/>
    <w:rsid w:val="00F809F4"/>
    <w:rsid w:val="00F84401"/>
    <w:rsid w:val="00F84A5B"/>
    <w:rsid w:val="00F930FA"/>
    <w:rsid w:val="00F9721A"/>
    <w:rsid w:val="00FA039D"/>
    <w:rsid w:val="00FA5EB0"/>
    <w:rsid w:val="00FB2FA8"/>
    <w:rsid w:val="00FC336B"/>
    <w:rsid w:val="00FD6ED3"/>
    <w:rsid w:val="00FE516A"/>
    <w:rsid w:val="00FF15F9"/>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A13C8"/>
    <w:pPr>
      <w:ind w:left="720"/>
    </w:pPr>
    <w:rPr>
      <w:rFonts w:cs="Arial"/>
      <w:sz w:val="24"/>
      <w:szCs w:val="24"/>
      <w:lang w:eastAsia="en-US"/>
    </w:rPr>
  </w:style>
  <w:style w:type="character" w:customStyle="1" w:styleId="BodyTextIndentChar">
    <w:name w:val="Body Text Indent Char"/>
    <w:basedOn w:val="DefaultParagraphFont"/>
    <w:link w:val="BodyTextIndent"/>
    <w:uiPriority w:val="99"/>
    <w:rsid w:val="00BA13C8"/>
    <w:rPr>
      <w:rFonts w:ascii="Arial" w:hAnsi="Arial" w:cs="Arial"/>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A13C8"/>
    <w:pPr>
      <w:ind w:left="720"/>
    </w:pPr>
    <w:rPr>
      <w:rFonts w:cs="Arial"/>
      <w:sz w:val="24"/>
      <w:szCs w:val="24"/>
      <w:lang w:eastAsia="en-US"/>
    </w:rPr>
  </w:style>
  <w:style w:type="character" w:customStyle="1" w:styleId="BodyTextIndentChar">
    <w:name w:val="Body Text Indent Char"/>
    <w:basedOn w:val="DefaultParagraphFont"/>
    <w:link w:val="BodyTextIndent"/>
    <w:uiPriority w:val="99"/>
    <w:rsid w:val="00BA13C8"/>
    <w:rPr>
      <w:rFonts w:ascii="Arial" w:hAnsi="Arial" w:cs="Arial"/>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35478939">
      <w:bodyDiv w:val="1"/>
      <w:marLeft w:val="0"/>
      <w:marRight w:val="0"/>
      <w:marTop w:val="0"/>
      <w:marBottom w:val="0"/>
      <w:divBdr>
        <w:top w:val="none" w:sz="0" w:space="0" w:color="auto"/>
        <w:left w:val="none" w:sz="0" w:space="0" w:color="auto"/>
        <w:bottom w:val="none" w:sz="0" w:space="0" w:color="auto"/>
        <w:right w:val="none" w:sz="0" w:space="0" w:color="auto"/>
      </w:divBdr>
    </w:div>
    <w:div w:id="940332686">
      <w:bodyDiv w:val="1"/>
      <w:marLeft w:val="0"/>
      <w:marRight w:val="0"/>
      <w:marTop w:val="0"/>
      <w:marBottom w:val="0"/>
      <w:divBdr>
        <w:top w:val="none" w:sz="0" w:space="0" w:color="auto"/>
        <w:left w:val="none" w:sz="0" w:space="0" w:color="auto"/>
        <w:bottom w:val="none" w:sz="0" w:space="0" w:color="auto"/>
        <w:right w:val="none" w:sz="0" w:space="0" w:color="auto"/>
      </w:divBdr>
    </w:div>
    <w:div w:id="1140222778">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2016-02-24T12:41:00Z</cp:lastPrinted>
  <dcterms:created xsi:type="dcterms:W3CDTF">2016-05-24T10:29:00Z</dcterms:created>
  <dcterms:modified xsi:type="dcterms:W3CDTF">2016-05-24T10:29:00Z</dcterms:modified>
</cp:coreProperties>
</file>