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5523246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C74E11">
        <w:rPr>
          <w:b/>
          <w:sz w:val="24"/>
          <w:szCs w:val="24"/>
          <w:lang w:val="af-ZA"/>
        </w:rPr>
        <w:t>78</w:t>
      </w:r>
      <w:r w:rsidR="00696206">
        <w:rPr>
          <w:b/>
          <w:sz w:val="24"/>
          <w:szCs w:val="24"/>
          <w:lang w:val="af-ZA"/>
        </w:rPr>
        <w:t>8</w:t>
      </w:r>
    </w:p>
    <w:p w:rsidR="000B2098" w:rsidRPr="0055709D" w:rsidRDefault="000B2098" w:rsidP="00D26F9E">
      <w:pPr>
        <w:rPr>
          <w:b/>
          <w:sz w:val="24"/>
          <w:szCs w:val="24"/>
        </w:rPr>
      </w:pPr>
    </w:p>
    <w:p w:rsidR="00D26F9E" w:rsidRPr="0055709D" w:rsidRDefault="00D26F9E" w:rsidP="0060438D">
      <w:pPr>
        <w:rPr>
          <w:b/>
          <w:sz w:val="24"/>
          <w:szCs w:val="24"/>
        </w:rPr>
      </w:pPr>
      <w:r w:rsidRPr="0055709D">
        <w:rPr>
          <w:b/>
          <w:sz w:val="24"/>
          <w:szCs w:val="24"/>
        </w:rPr>
        <w:t xml:space="preserve">DATE OF PUBLICATION: </w:t>
      </w:r>
      <w:r w:rsidR="00C74E11">
        <w:rPr>
          <w:b/>
          <w:sz w:val="24"/>
          <w:szCs w:val="24"/>
        </w:rPr>
        <w:t>24</w:t>
      </w:r>
      <w:r w:rsidR="009C04C3">
        <w:rPr>
          <w:b/>
          <w:sz w:val="24"/>
          <w:szCs w:val="24"/>
        </w:rPr>
        <w:t xml:space="preserve"> MARCH</w:t>
      </w:r>
      <w:r w:rsidR="00526E7D" w:rsidRPr="0055709D">
        <w:rPr>
          <w:b/>
          <w:sz w:val="24"/>
          <w:szCs w:val="24"/>
        </w:rPr>
        <w:t xml:space="preserve"> 2</w:t>
      </w:r>
      <w:r w:rsidR="00A830EA" w:rsidRPr="0055709D">
        <w:rPr>
          <w:b/>
          <w:sz w:val="24"/>
          <w:szCs w:val="24"/>
        </w:rPr>
        <w:t>01</w:t>
      </w:r>
      <w:r w:rsidR="00DC28F1">
        <w:rPr>
          <w:b/>
          <w:sz w:val="24"/>
          <w:szCs w:val="24"/>
        </w:rPr>
        <w:t>7</w:t>
      </w:r>
    </w:p>
    <w:p w:rsidR="004200E4" w:rsidRDefault="004200E4" w:rsidP="0060438D">
      <w:pPr>
        <w:ind w:left="720" w:hanging="720"/>
        <w:jc w:val="both"/>
        <w:rPr>
          <w:b/>
          <w:sz w:val="24"/>
          <w:szCs w:val="24"/>
        </w:rPr>
      </w:pPr>
    </w:p>
    <w:p w:rsidR="00696206" w:rsidRDefault="00696206" w:rsidP="0060438D">
      <w:pPr>
        <w:ind w:left="720" w:hanging="720"/>
        <w:jc w:val="both"/>
        <w:rPr>
          <w:b/>
          <w:sz w:val="24"/>
          <w:szCs w:val="24"/>
        </w:rPr>
      </w:pPr>
      <w:r w:rsidRPr="00CF60C1">
        <w:rPr>
          <w:b/>
          <w:sz w:val="24"/>
          <w:szCs w:val="24"/>
        </w:rPr>
        <w:t>Mr M S Malatsi (DA) to ask the Minister of Human Settlements:</w:t>
      </w:r>
    </w:p>
    <w:p w:rsidR="00B3113C" w:rsidRPr="00CF60C1" w:rsidRDefault="00B3113C" w:rsidP="0060438D">
      <w:pPr>
        <w:ind w:left="720" w:hanging="720"/>
        <w:jc w:val="both"/>
        <w:rPr>
          <w:b/>
          <w:sz w:val="24"/>
          <w:szCs w:val="24"/>
        </w:rPr>
      </w:pPr>
    </w:p>
    <w:p w:rsidR="00696206" w:rsidRPr="004200E4" w:rsidRDefault="00696206" w:rsidP="004200E4">
      <w:pPr>
        <w:spacing w:before="100" w:beforeAutospacing="1" w:after="100" w:afterAutospacing="1" w:line="360" w:lineRule="auto"/>
        <w:ind w:left="720" w:hanging="720"/>
        <w:jc w:val="both"/>
        <w:rPr>
          <w:sz w:val="24"/>
          <w:szCs w:val="24"/>
        </w:rPr>
      </w:pPr>
      <w:r w:rsidRPr="004200E4">
        <w:rPr>
          <w:sz w:val="24"/>
          <w:szCs w:val="24"/>
        </w:rPr>
        <w:t>(1)</w:t>
      </w:r>
      <w:r w:rsidRPr="004200E4">
        <w:rPr>
          <w:sz w:val="24"/>
          <w:szCs w:val="24"/>
        </w:rPr>
        <w:tab/>
        <w:t xml:space="preserve">With reference to the forensic investigations that have been initiated against the staff and board members of the Estate Agency Affairs Board, Social Housing Regulatory Authority, National Housing Builders Registration Council, Housing Development Agency, National Urban Reconstruction and Housing Agency, Rural Housing Loan Fund and Community Schemes </w:t>
      </w:r>
      <w:proofErr w:type="spellStart"/>
      <w:r w:rsidRPr="004200E4">
        <w:rPr>
          <w:sz w:val="24"/>
          <w:szCs w:val="24"/>
        </w:rPr>
        <w:t>Ombud</w:t>
      </w:r>
      <w:proofErr w:type="spellEnd"/>
      <w:r w:rsidRPr="004200E4">
        <w:rPr>
          <w:sz w:val="24"/>
          <w:szCs w:val="24"/>
        </w:rPr>
        <w:t xml:space="preserve"> Service in each of the past three financial years, what is the (a) name of each company appointed to conduct the investigation, (b) total amount of each contract, (c) deadline for completion of work and (d) reason for failure to meet each specified deadline;</w:t>
      </w:r>
    </w:p>
    <w:p w:rsidR="00696206" w:rsidRPr="004200E4" w:rsidRDefault="00696206" w:rsidP="004200E4">
      <w:pPr>
        <w:spacing w:before="100" w:beforeAutospacing="1" w:after="100" w:afterAutospacing="1" w:line="360" w:lineRule="auto"/>
        <w:ind w:left="720" w:hanging="720"/>
        <w:jc w:val="both"/>
        <w:rPr>
          <w:sz w:val="24"/>
          <w:szCs w:val="24"/>
        </w:rPr>
      </w:pPr>
      <w:r w:rsidRPr="004200E4">
        <w:rPr>
          <w:sz w:val="24"/>
          <w:szCs w:val="24"/>
        </w:rPr>
        <w:t>(2)</w:t>
      </w:r>
      <w:r w:rsidRPr="004200E4">
        <w:rPr>
          <w:sz w:val="24"/>
          <w:szCs w:val="24"/>
        </w:rPr>
        <w:tab/>
        <w:t>whether any staff or board members (a) were fired or (b) resigned as a direct result of the specified investigations; if so, (</w:t>
      </w:r>
      <w:proofErr w:type="spellStart"/>
      <w:r w:rsidRPr="004200E4">
        <w:rPr>
          <w:sz w:val="24"/>
          <w:szCs w:val="24"/>
        </w:rPr>
        <w:t>i</w:t>
      </w:r>
      <w:proofErr w:type="spellEnd"/>
      <w:r w:rsidRPr="004200E4">
        <w:rPr>
          <w:sz w:val="24"/>
          <w:szCs w:val="24"/>
        </w:rPr>
        <w:t>) how many persons and (ii) what was the date of the termination of the specified person’s contract in each case;</w:t>
      </w:r>
    </w:p>
    <w:p w:rsidR="00696206" w:rsidRPr="004200E4" w:rsidRDefault="00696206" w:rsidP="004200E4">
      <w:pPr>
        <w:tabs>
          <w:tab w:val="left" w:pos="432"/>
          <w:tab w:val="left" w:pos="720"/>
        </w:tabs>
        <w:spacing w:before="100" w:beforeAutospacing="1" w:after="100" w:afterAutospacing="1" w:line="360" w:lineRule="auto"/>
        <w:ind w:left="720" w:hanging="720"/>
        <w:jc w:val="both"/>
      </w:pPr>
      <w:r w:rsidRPr="004200E4">
        <w:rPr>
          <w:sz w:val="24"/>
          <w:szCs w:val="24"/>
        </w:rPr>
        <w:t>(3)</w:t>
      </w:r>
      <w:r w:rsidRPr="004200E4">
        <w:rPr>
          <w:sz w:val="24"/>
          <w:szCs w:val="24"/>
        </w:rPr>
        <w:tab/>
      </w:r>
      <w:r w:rsidRPr="004200E4">
        <w:rPr>
          <w:sz w:val="24"/>
          <w:szCs w:val="24"/>
        </w:rPr>
        <w:tab/>
      </w:r>
      <w:proofErr w:type="gramStart"/>
      <w:r w:rsidRPr="004200E4">
        <w:rPr>
          <w:sz w:val="24"/>
          <w:szCs w:val="24"/>
        </w:rPr>
        <w:t>whether</w:t>
      </w:r>
      <w:proofErr w:type="gramEnd"/>
      <w:r w:rsidRPr="004200E4">
        <w:rPr>
          <w:sz w:val="24"/>
          <w:szCs w:val="24"/>
        </w:rPr>
        <w:t xml:space="preserve"> any of the specified persons received a severance package as a result of the termination of their contract following the conclusion of forensic investigations; if so, what was the total amount paid out in severance packages in each case</w:t>
      </w:r>
      <w:r w:rsidRPr="004200E4">
        <w:rPr>
          <w:sz w:val="24"/>
          <w:szCs w:val="24"/>
          <w:lang w:val="en-US"/>
        </w:rPr>
        <w:t>?</w:t>
      </w:r>
      <w:r w:rsidRPr="004200E4">
        <w:rPr>
          <w:sz w:val="24"/>
          <w:szCs w:val="24"/>
          <w:lang w:val="en-US"/>
        </w:rPr>
        <w:tab/>
      </w:r>
      <w:r w:rsidRPr="004200E4">
        <w:rPr>
          <w:sz w:val="24"/>
          <w:szCs w:val="24"/>
          <w:lang w:val="en-US"/>
        </w:rPr>
        <w:tab/>
      </w:r>
      <w:r w:rsidRPr="004200E4">
        <w:rPr>
          <w:sz w:val="24"/>
          <w:szCs w:val="24"/>
          <w:lang w:val="en-US"/>
        </w:rPr>
        <w:tab/>
      </w:r>
      <w:r w:rsidRPr="004200E4">
        <w:rPr>
          <w:sz w:val="24"/>
          <w:szCs w:val="24"/>
          <w:lang w:val="en-US"/>
        </w:rPr>
        <w:tab/>
        <w:t xml:space="preserve">         </w:t>
      </w:r>
      <w:r w:rsidRPr="004200E4">
        <w:rPr>
          <w:lang w:val="en-US"/>
        </w:rPr>
        <w:t>NW847E</w:t>
      </w:r>
    </w:p>
    <w:p w:rsidR="00766CE9" w:rsidRPr="004200E4" w:rsidRDefault="00EB6AA1" w:rsidP="0060438D">
      <w:pPr>
        <w:pStyle w:val="ListParagraph"/>
        <w:spacing w:before="100" w:beforeAutospacing="1" w:after="100" w:afterAutospacing="1" w:line="360" w:lineRule="auto"/>
        <w:ind w:left="0"/>
        <w:jc w:val="both"/>
        <w:rPr>
          <w:b/>
          <w:sz w:val="24"/>
          <w:szCs w:val="24"/>
        </w:rPr>
      </w:pPr>
      <w:r w:rsidRPr="004200E4">
        <w:rPr>
          <w:b/>
          <w:sz w:val="24"/>
          <w:szCs w:val="24"/>
        </w:rPr>
        <w:t>REPLY:</w:t>
      </w:r>
    </w:p>
    <w:p w:rsidR="0060438D" w:rsidRDefault="0060438D" w:rsidP="000808FA">
      <w:pPr>
        <w:pStyle w:val="ListParagraph"/>
        <w:spacing w:line="360" w:lineRule="auto"/>
        <w:ind w:hanging="720"/>
        <w:contextualSpacing/>
        <w:jc w:val="both"/>
        <w:outlineLvl w:val="0"/>
        <w:rPr>
          <w:color w:val="000000"/>
          <w:sz w:val="24"/>
          <w:szCs w:val="24"/>
          <w:lang w:val="en-ZA"/>
        </w:rPr>
      </w:pPr>
      <w:r>
        <w:rPr>
          <w:color w:val="000000"/>
          <w:sz w:val="24"/>
          <w:szCs w:val="24"/>
          <w:lang w:val="en-ZA"/>
        </w:rPr>
        <w:t>(1)</w:t>
      </w:r>
      <w:r>
        <w:rPr>
          <w:color w:val="000000"/>
          <w:sz w:val="24"/>
          <w:szCs w:val="24"/>
          <w:lang w:val="en-ZA"/>
        </w:rPr>
        <w:tab/>
        <w:t>T</w:t>
      </w:r>
      <w:r w:rsidRPr="004200E4">
        <w:rPr>
          <w:sz w:val="24"/>
          <w:szCs w:val="24"/>
        </w:rPr>
        <w:t xml:space="preserve">he Estate Agency Affairs Board, National Housing Builders Registration Council, Housing Development Agency, National Urban Reconstruction and Housing Agency, Rural Housing </w:t>
      </w:r>
      <w:r w:rsidRPr="004200E4">
        <w:rPr>
          <w:sz w:val="24"/>
          <w:szCs w:val="24"/>
        </w:rPr>
        <w:lastRenderedPageBreak/>
        <w:t xml:space="preserve">Loan Fund and </w:t>
      </w:r>
      <w:r>
        <w:rPr>
          <w:sz w:val="24"/>
          <w:szCs w:val="24"/>
        </w:rPr>
        <w:t xml:space="preserve">the </w:t>
      </w:r>
      <w:r w:rsidRPr="004200E4">
        <w:rPr>
          <w:sz w:val="24"/>
          <w:szCs w:val="24"/>
        </w:rPr>
        <w:t xml:space="preserve">Community Schemes </w:t>
      </w:r>
      <w:proofErr w:type="spellStart"/>
      <w:r w:rsidRPr="004200E4">
        <w:rPr>
          <w:sz w:val="24"/>
          <w:szCs w:val="24"/>
        </w:rPr>
        <w:t>Ombud</w:t>
      </w:r>
      <w:proofErr w:type="spellEnd"/>
      <w:r w:rsidRPr="004200E4">
        <w:rPr>
          <w:sz w:val="24"/>
          <w:szCs w:val="24"/>
        </w:rPr>
        <w:t xml:space="preserve"> Service</w:t>
      </w:r>
      <w:r>
        <w:rPr>
          <w:sz w:val="24"/>
          <w:szCs w:val="24"/>
        </w:rPr>
        <w:t xml:space="preserve"> </w:t>
      </w:r>
      <w:r>
        <w:rPr>
          <w:color w:val="000000"/>
          <w:sz w:val="24"/>
          <w:szCs w:val="24"/>
          <w:lang w:val="en-ZA"/>
        </w:rPr>
        <w:t xml:space="preserve">have </w:t>
      </w:r>
      <w:r w:rsidRPr="0060438D">
        <w:rPr>
          <w:color w:val="000000"/>
          <w:sz w:val="24"/>
          <w:szCs w:val="24"/>
          <w:lang w:val="en-ZA"/>
        </w:rPr>
        <w:t>not initiated any forensic investigations against the staff or board members</w:t>
      </w:r>
      <w:r w:rsidR="00EF5F8F">
        <w:rPr>
          <w:color w:val="000000"/>
          <w:sz w:val="24"/>
          <w:szCs w:val="24"/>
          <w:lang w:val="en-ZA"/>
        </w:rPr>
        <w:t xml:space="preserve"> </w:t>
      </w:r>
      <w:r w:rsidR="00EF5F8F" w:rsidRPr="004200E4">
        <w:rPr>
          <w:sz w:val="24"/>
          <w:szCs w:val="24"/>
        </w:rPr>
        <w:t>in the past three financial years</w:t>
      </w:r>
    </w:p>
    <w:p w:rsidR="007035C3" w:rsidRDefault="007035C3" w:rsidP="000808FA">
      <w:pPr>
        <w:pStyle w:val="ListParagraph"/>
        <w:spacing w:line="360" w:lineRule="auto"/>
        <w:ind w:hanging="720"/>
        <w:contextualSpacing/>
        <w:jc w:val="both"/>
        <w:outlineLvl w:val="0"/>
        <w:rPr>
          <w:color w:val="000000"/>
          <w:sz w:val="24"/>
          <w:szCs w:val="24"/>
          <w:lang w:val="en-ZA"/>
        </w:rPr>
      </w:pPr>
    </w:p>
    <w:p w:rsidR="007035C3" w:rsidRPr="001D3482" w:rsidRDefault="002A1AAE" w:rsidP="001D3482">
      <w:pPr>
        <w:spacing w:line="360" w:lineRule="auto"/>
        <w:ind w:left="720"/>
        <w:jc w:val="both"/>
        <w:outlineLvl w:val="0"/>
        <w:rPr>
          <w:sz w:val="24"/>
          <w:szCs w:val="24"/>
          <w:lang w:val="en-ZA"/>
        </w:rPr>
      </w:pPr>
      <w:r w:rsidRPr="001D3482">
        <w:rPr>
          <w:sz w:val="24"/>
          <w:szCs w:val="24"/>
          <w:lang w:val="en-ZA"/>
        </w:rPr>
        <w:t>In respect of SHRA, i</w:t>
      </w:r>
      <w:r w:rsidR="007035C3" w:rsidRPr="001D3482">
        <w:rPr>
          <w:sz w:val="24"/>
          <w:szCs w:val="24"/>
          <w:lang w:val="en-ZA"/>
        </w:rPr>
        <w:t xml:space="preserve">t is to be noted that on or about July 2013, the National Department alerted the Social Housing Regulatory Authority Council of alleged act(s) of maladministration of management. The SHRA Council then commissioned a forensic audit investigation, which determined that there was substance to the allegations. </w:t>
      </w:r>
    </w:p>
    <w:p w:rsidR="0060438D" w:rsidRPr="0060438D" w:rsidRDefault="0060438D" w:rsidP="0060438D">
      <w:pPr>
        <w:outlineLvl w:val="0"/>
        <w:rPr>
          <w:sz w:val="24"/>
          <w:szCs w:val="24"/>
          <w:lang w:val="en-ZA"/>
        </w:rPr>
      </w:pPr>
    </w:p>
    <w:p w:rsidR="00EF6653" w:rsidRDefault="00EF6653" w:rsidP="00EF6653">
      <w:pPr>
        <w:pStyle w:val="PlainText"/>
      </w:pPr>
    </w:p>
    <w:p w:rsidR="00EF6653" w:rsidRPr="009F6716" w:rsidRDefault="00EF6653" w:rsidP="009F6716">
      <w:pPr>
        <w:pStyle w:val="PlainText"/>
        <w:spacing w:line="360" w:lineRule="auto"/>
        <w:ind w:left="720"/>
        <w:jc w:val="both"/>
        <w:rPr>
          <w:rFonts w:ascii="Times New Roman" w:hAnsi="Times New Roman"/>
          <w:sz w:val="24"/>
          <w:szCs w:val="24"/>
        </w:rPr>
      </w:pPr>
      <w:r w:rsidRPr="009F6716">
        <w:rPr>
          <w:rFonts w:ascii="Times New Roman" w:hAnsi="Times New Roman"/>
          <w:sz w:val="24"/>
          <w:szCs w:val="24"/>
        </w:rPr>
        <w:t>Further investigations were conducted and finalized under the leadership of the Accountant General and National Treasury, who concluded that disciplinary action be taken against officials of SHRA and the department who were involved  in the conduct investigated. With respect to criminal conduct, the Accountant General referred those aspects to law enforcement agencies for further action in the normal course.  My department will be informed of progress should their involvement be required. Regarding the assets that were in possession of third parties, those aspects were also referred by the Accountant General to the Asset Forfeiture Unit ( AFU) for preservation and forfeiture to the State.</w:t>
      </w:r>
    </w:p>
    <w:p w:rsidR="00EF6653" w:rsidRPr="009F6716" w:rsidRDefault="00EF6653" w:rsidP="009F6716">
      <w:pPr>
        <w:pStyle w:val="PlainText"/>
        <w:spacing w:line="360" w:lineRule="auto"/>
        <w:jc w:val="both"/>
        <w:rPr>
          <w:rFonts w:ascii="Times New Roman" w:hAnsi="Times New Roman"/>
          <w:sz w:val="24"/>
          <w:szCs w:val="24"/>
        </w:rPr>
      </w:pPr>
    </w:p>
    <w:p w:rsidR="00EF6653" w:rsidRPr="009F6716" w:rsidRDefault="00EF6653" w:rsidP="009F6716">
      <w:pPr>
        <w:pStyle w:val="PlainText"/>
        <w:spacing w:line="360" w:lineRule="auto"/>
        <w:ind w:left="720" w:hanging="720"/>
        <w:jc w:val="both"/>
        <w:rPr>
          <w:rFonts w:ascii="Times New Roman" w:hAnsi="Times New Roman"/>
          <w:sz w:val="24"/>
          <w:szCs w:val="24"/>
        </w:rPr>
      </w:pPr>
      <w:r w:rsidRPr="009F6716">
        <w:rPr>
          <w:rFonts w:ascii="Times New Roman" w:hAnsi="Times New Roman"/>
          <w:sz w:val="24"/>
          <w:szCs w:val="24"/>
        </w:rPr>
        <w:t xml:space="preserve">(2) </w:t>
      </w:r>
      <w:r w:rsidR="009F6716" w:rsidRPr="009F6716">
        <w:rPr>
          <w:rFonts w:ascii="Times New Roman" w:hAnsi="Times New Roman"/>
          <w:sz w:val="24"/>
          <w:szCs w:val="24"/>
        </w:rPr>
        <w:tab/>
      </w:r>
      <w:r w:rsidRPr="009F6716">
        <w:rPr>
          <w:rFonts w:ascii="Times New Roman" w:hAnsi="Times New Roman"/>
          <w:sz w:val="24"/>
          <w:szCs w:val="24"/>
        </w:rPr>
        <w:t>The officials involved resigned from SHRA before the Accountant General commenced with the investigation. Another official left due to the contract of employment coming to an end.</w:t>
      </w:r>
    </w:p>
    <w:p w:rsidR="00EF6653" w:rsidRPr="009F6716" w:rsidRDefault="00EF6653" w:rsidP="009F6716">
      <w:pPr>
        <w:pStyle w:val="PlainText"/>
        <w:spacing w:line="360" w:lineRule="auto"/>
        <w:jc w:val="both"/>
        <w:rPr>
          <w:rFonts w:ascii="Times New Roman" w:hAnsi="Times New Roman"/>
          <w:sz w:val="24"/>
          <w:szCs w:val="24"/>
        </w:rPr>
      </w:pPr>
    </w:p>
    <w:p w:rsidR="00EF6653" w:rsidRPr="009F6716" w:rsidRDefault="00EF6653" w:rsidP="009F6716">
      <w:pPr>
        <w:pStyle w:val="PlainText"/>
        <w:spacing w:line="360" w:lineRule="auto"/>
        <w:jc w:val="both"/>
        <w:rPr>
          <w:rFonts w:ascii="Times New Roman" w:hAnsi="Times New Roman"/>
          <w:sz w:val="24"/>
          <w:szCs w:val="24"/>
        </w:rPr>
      </w:pPr>
      <w:r w:rsidRPr="009F6716">
        <w:rPr>
          <w:rFonts w:ascii="Times New Roman" w:hAnsi="Times New Roman"/>
          <w:sz w:val="24"/>
          <w:szCs w:val="24"/>
        </w:rPr>
        <w:t>(3)</w:t>
      </w:r>
      <w:r w:rsidR="009F6716" w:rsidRPr="009F6716">
        <w:rPr>
          <w:rFonts w:ascii="Times New Roman" w:hAnsi="Times New Roman"/>
          <w:sz w:val="24"/>
          <w:szCs w:val="24"/>
        </w:rPr>
        <w:tab/>
      </w:r>
      <w:r w:rsidR="009F6716" w:rsidRPr="009F6716">
        <w:rPr>
          <w:rFonts w:ascii="Times New Roman" w:hAnsi="Times New Roman"/>
          <w:sz w:val="24"/>
          <w:szCs w:val="24"/>
          <w:lang w:val="en-US"/>
        </w:rPr>
        <w:t>No</w:t>
      </w:r>
    </w:p>
    <w:p w:rsidR="008773D7" w:rsidRDefault="008773D7" w:rsidP="0060438D">
      <w:pPr>
        <w:spacing w:line="360" w:lineRule="auto"/>
        <w:outlineLvl w:val="0"/>
        <w:rPr>
          <w:b/>
          <w:sz w:val="24"/>
          <w:szCs w:val="24"/>
        </w:rPr>
      </w:pPr>
    </w:p>
    <w:sectPr w:rsidR="008773D7" w:rsidSect="00E40EB3">
      <w:headerReference w:type="default" r:id="rId9"/>
      <w:pgSz w:w="12240" w:h="15840"/>
      <w:pgMar w:top="1418"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78" w:rsidRDefault="00712778" w:rsidP="00054FEC">
      <w:r>
        <w:separator/>
      </w:r>
    </w:p>
  </w:endnote>
  <w:endnote w:type="continuationSeparator" w:id="0">
    <w:p w:rsidR="00712778" w:rsidRDefault="00712778"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78" w:rsidRDefault="00712778" w:rsidP="00054FEC">
      <w:r>
        <w:separator/>
      </w:r>
    </w:p>
  </w:footnote>
  <w:footnote w:type="continuationSeparator" w:id="0">
    <w:p w:rsidR="00712778" w:rsidRDefault="0071277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w:t>
    </w:r>
    <w:r w:rsidR="00C74E11">
      <w:t>78</w:t>
    </w:r>
    <w:r w:rsidR="00696206">
      <w:t>8</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3">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0">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1">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D242E52"/>
    <w:multiLevelType w:val="hybridMultilevel"/>
    <w:tmpl w:val="19A8AA60"/>
    <w:lvl w:ilvl="0" w:tplc="45D6B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5"/>
  </w:num>
  <w:num w:numId="2">
    <w:abstractNumId w:val="13"/>
  </w:num>
  <w:num w:numId="3">
    <w:abstractNumId w:val="6"/>
  </w:num>
  <w:num w:numId="4">
    <w:abstractNumId w:val="10"/>
  </w:num>
  <w:num w:numId="5">
    <w:abstractNumId w:val="17"/>
  </w:num>
  <w:num w:numId="6">
    <w:abstractNumId w:val="9"/>
  </w:num>
  <w:num w:numId="7">
    <w:abstractNumId w:val="7"/>
  </w:num>
  <w:num w:numId="8">
    <w:abstractNumId w:val="12"/>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6"/>
  </w:num>
  <w:num w:numId="14">
    <w:abstractNumId w:val="18"/>
  </w:num>
  <w:num w:numId="15">
    <w:abstractNumId w:val="2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num>
  <w:num w:numId="20">
    <w:abstractNumId w:val="23"/>
  </w:num>
  <w:num w:numId="21">
    <w:abstractNumId w:val="11"/>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lvlOverride w:ilvl="3"/>
    <w:lvlOverride w:ilvl="4"/>
    <w:lvlOverride w:ilvl="5"/>
    <w:lvlOverride w:ilvl="6"/>
    <w:lvlOverride w:ilvl="7"/>
    <w:lvlOverride w:ilvl="8"/>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319B"/>
    <w:rsid w:val="00042121"/>
    <w:rsid w:val="00042C5B"/>
    <w:rsid w:val="000542DB"/>
    <w:rsid w:val="00054FEC"/>
    <w:rsid w:val="0005651C"/>
    <w:rsid w:val="00061B5C"/>
    <w:rsid w:val="00062096"/>
    <w:rsid w:val="000808FA"/>
    <w:rsid w:val="00084A46"/>
    <w:rsid w:val="00085A2A"/>
    <w:rsid w:val="000874C5"/>
    <w:rsid w:val="000B2098"/>
    <w:rsid w:val="000B4AC5"/>
    <w:rsid w:val="000C37CD"/>
    <w:rsid w:val="000D5E18"/>
    <w:rsid w:val="000E0847"/>
    <w:rsid w:val="000E238C"/>
    <w:rsid w:val="000E3FFE"/>
    <w:rsid w:val="001005E9"/>
    <w:rsid w:val="00100A49"/>
    <w:rsid w:val="00113198"/>
    <w:rsid w:val="0012375B"/>
    <w:rsid w:val="00131BFD"/>
    <w:rsid w:val="00134648"/>
    <w:rsid w:val="001355B6"/>
    <w:rsid w:val="00143801"/>
    <w:rsid w:val="00183267"/>
    <w:rsid w:val="00185C4D"/>
    <w:rsid w:val="00185C4E"/>
    <w:rsid w:val="0019692B"/>
    <w:rsid w:val="001A1C58"/>
    <w:rsid w:val="001A37B9"/>
    <w:rsid w:val="001B46D4"/>
    <w:rsid w:val="001C51E0"/>
    <w:rsid w:val="001D3482"/>
    <w:rsid w:val="001D6619"/>
    <w:rsid w:val="001E77A7"/>
    <w:rsid w:val="001F17FC"/>
    <w:rsid w:val="00203262"/>
    <w:rsid w:val="00221ABD"/>
    <w:rsid w:val="0023124F"/>
    <w:rsid w:val="00244322"/>
    <w:rsid w:val="00245CEE"/>
    <w:rsid w:val="002565C1"/>
    <w:rsid w:val="00257C83"/>
    <w:rsid w:val="00273F15"/>
    <w:rsid w:val="00291FC7"/>
    <w:rsid w:val="002922CE"/>
    <w:rsid w:val="002962EB"/>
    <w:rsid w:val="0029651C"/>
    <w:rsid w:val="002A1AAE"/>
    <w:rsid w:val="002E39B0"/>
    <w:rsid w:val="002F729C"/>
    <w:rsid w:val="00323C61"/>
    <w:rsid w:val="00326ADE"/>
    <w:rsid w:val="00332EDA"/>
    <w:rsid w:val="00333798"/>
    <w:rsid w:val="00360151"/>
    <w:rsid w:val="003639EF"/>
    <w:rsid w:val="00386EBC"/>
    <w:rsid w:val="00391B22"/>
    <w:rsid w:val="00397799"/>
    <w:rsid w:val="003A0C97"/>
    <w:rsid w:val="003A48E1"/>
    <w:rsid w:val="003B7EF6"/>
    <w:rsid w:val="003E55E0"/>
    <w:rsid w:val="003F3D4B"/>
    <w:rsid w:val="003F40BD"/>
    <w:rsid w:val="003F4CED"/>
    <w:rsid w:val="003F5497"/>
    <w:rsid w:val="00411FA8"/>
    <w:rsid w:val="00413C30"/>
    <w:rsid w:val="004171D3"/>
    <w:rsid w:val="004200E4"/>
    <w:rsid w:val="00421190"/>
    <w:rsid w:val="00421215"/>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E1009"/>
    <w:rsid w:val="004F5117"/>
    <w:rsid w:val="00506A53"/>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0D78"/>
    <w:rsid w:val="005B2811"/>
    <w:rsid w:val="005B5D50"/>
    <w:rsid w:val="005B77A4"/>
    <w:rsid w:val="005C71CA"/>
    <w:rsid w:val="005D1F3D"/>
    <w:rsid w:val="005D69D1"/>
    <w:rsid w:val="005E69AF"/>
    <w:rsid w:val="005F4728"/>
    <w:rsid w:val="00600BD5"/>
    <w:rsid w:val="00602463"/>
    <w:rsid w:val="0060438D"/>
    <w:rsid w:val="0061173D"/>
    <w:rsid w:val="00622769"/>
    <w:rsid w:val="006315F4"/>
    <w:rsid w:val="00634815"/>
    <w:rsid w:val="0064604A"/>
    <w:rsid w:val="00650769"/>
    <w:rsid w:val="0065307F"/>
    <w:rsid w:val="006559CC"/>
    <w:rsid w:val="00657FAD"/>
    <w:rsid w:val="006862AD"/>
    <w:rsid w:val="006932BB"/>
    <w:rsid w:val="00696206"/>
    <w:rsid w:val="006A3A9B"/>
    <w:rsid w:val="006A50C0"/>
    <w:rsid w:val="006B057C"/>
    <w:rsid w:val="006B1158"/>
    <w:rsid w:val="006C4112"/>
    <w:rsid w:val="006C7F54"/>
    <w:rsid w:val="006D4535"/>
    <w:rsid w:val="006D564E"/>
    <w:rsid w:val="006D638D"/>
    <w:rsid w:val="006F111A"/>
    <w:rsid w:val="006F35CD"/>
    <w:rsid w:val="006F4B1B"/>
    <w:rsid w:val="006F64F8"/>
    <w:rsid w:val="007035C3"/>
    <w:rsid w:val="00704183"/>
    <w:rsid w:val="00712778"/>
    <w:rsid w:val="00722FEC"/>
    <w:rsid w:val="007241DD"/>
    <w:rsid w:val="0072652B"/>
    <w:rsid w:val="00731E1C"/>
    <w:rsid w:val="00740E7D"/>
    <w:rsid w:val="00744892"/>
    <w:rsid w:val="007468D2"/>
    <w:rsid w:val="0075051F"/>
    <w:rsid w:val="00751A45"/>
    <w:rsid w:val="00755D11"/>
    <w:rsid w:val="00762CB4"/>
    <w:rsid w:val="00766475"/>
    <w:rsid w:val="00766CE9"/>
    <w:rsid w:val="00773002"/>
    <w:rsid w:val="00784F64"/>
    <w:rsid w:val="0078533E"/>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6D26"/>
    <w:rsid w:val="008279FC"/>
    <w:rsid w:val="00837F3E"/>
    <w:rsid w:val="00845006"/>
    <w:rsid w:val="00852F18"/>
    <w:rsid w:val="008575F4"/>
    <w:rsid w:val="00857E10"/>
    <w:rsid w:val="008709EB"/>
    <w:rsid w:val="0087209D"/>
    <w:rsid w:val="00873BDC"/>
    <w:rsid w:val="008773D7"/>
    <w:rsid w:val="00895D3F"/>
    <w:rsid w:val="008B2848"/>
    <w:rsid w:val="008C22C2"/>
    <w:rsid w:val="008D4969"/>
    <w:rsid w:val="008E39AE"/>
    <w:rsid w:val="008E4498"/>
    <w:rsid w:val="008F3F23"/>
    <w:rsid w:val="008F3FE5"/>
    <w:rsid w:val="008F4456"/>
    <w:rsid w:val="00904841"/>
    <w:rsid w:val="00907BDD"/>
    <w:rsid w:val="00916792"/>
    <w:rsid w:val="00927BDA"/>
    <w:rsid w:val="00933DC0"/>
    <w:rsid w:val="009358D8"/>
    <w:rsid w:val="009407DD"/>
    <w:rsid w:val="00954574"/>
    <w:rsid w:val="00972777"/>
    <w:rsid w:val="00984A0C"/>
    <w:rsid w:val="00991B77"/>
    <w:rsid w:val="009924B5"/>
    <w:rsid w:val="009B0461"/>
    <w:rsid w:val="009B6B68"/>
    <w:rsid w:val="009C04C3"/>
    <w:rsid w:val="009C6091"/>
    <w:rsid w:val="009D5DC1"/>
    <w:rsid w:val="009E211A"/>
    <w:rsid w:val="009F104A"/>
    <w:rsid w:val="009F5B5D"/>
    <w:rsid w:val="009F6716"/>
    <w:rsid w:val="00A07114"/>
    <w:rsid w:val="00A10986"/>
    <w:rsid w:val="00A11359"/>
    <w:rsid w:val="00A36D94"/>
    <w:rsid w:val="00A545F9"/>
    <w:rsid w:val="00A60EEE"/>
    <w:rsid w:val="00A645C2"/>
    <w:rsid w:val="00A7270B"/>
    <w:rsid w:val="00A738F3"/>
    <w:rsid w:val="00A73A8F"/>
    <w:rsid w:val="00A749B6"/>
    <w:rsid w:val="00A76A9C"/>
    <w:rsid w:val="00A830EA"/>
    <w:rsid w:val="00A90AF6"/>
    <w:rsid w:val="00A9168E"/>
    <w:rsid w:val="00AA08FD"/>
    <w:rsid w:val="00AA2897"/>
    <w:rsid w:val="00AC0B56"/>
    <w:rsid w:val="00AC26C4"/>
    <w:rsid w:val="00AC5723"/>
    <w:rsid w:val="00AE05EB"/>
    <w:rsid w:val="00AE0DBB"/>
    <w:rsid w:val="00AE1377"/>
    <w:rsid w:val="00AE5063"/>
    <w:rsid w:val="00AE6436"/>
    <w:rsid w:val="00AF266B"/>
    <w:rsid w:val="00B11A62"/>
    <w:rsid w:val="00B165F7"/>
    <w:rsid w:val="00B17FB7"/>
    <w:rsid w:val="00B253A0"/>
    <w:rsid w:val="00B268A3"/>
    <w:rsid w:val="00B3032A"/>
    <w:rsid w:val="00B3113C"/>
    <w:rsid w:val="00B3353C"/>
    <w:rsid w:val="00B346B6"/>
    <w:rsid w:val="00B35035"/>
    <w:rsid w:val="00B41BED"/>
    <w:rsid w:val="00B43005"/>
    <w:rsid w:val="00B55E3F"/>
    <w:rsid w:val="00B57E32"/>
    <w:rsid w:val="00B653F5"/>
    <w:rsid w:val="00B66BAF"/>
    <w:rsid w:val="00B72DD5"/>
    <w:rsid w:val="00B86677"/>
    <w:rsid w:val="00B969FE"/>
    <w:rsid w:val="00BA1CD4"/>
    <w:rsid w:val="00BA1D02"/>
    <w:rsid w:val="00BB13D8"/>
    <w:rsid w:val="00BC2B00"/>
    <w:rsid w:val="00BD39FB"/>
    <w:rsid w:val="00BE2758"/>
    <w:rsid w:val="00BE35AA"/>
    <w:rsid w:val="00BF3EE7"/>
    <w:rsid w:val="00C0359C"/>
    <w:rsid w:val="00C103F1"/>
    <w:rsid w:val="00C21B68"/>
    <w:rsid w:val="00C24092"/>
    <w:rsid w:val="00C25886"/>
    <w:rsid w:val="00C26F5E"/>
    <w:rsid w:val="00C339A4"/>
    <w:rsid w:val="00C34739"/>
    <w:rsid w:val="00C34FD1"/>
    <w:rsid w:val="00C373B4"/>
    <w:rsid w:val="00C42767"/>
    <w:rsid w:val="00C45207"/>
    <w:rsid w:val="00C51A0C"/>
    <w:rsid w:val="00C52AA3"/>
    <w:rsid w:val="00C576FE"/>
    <w:rsid w:val="00C57AC2"/>
    <w:rsid w:val="00C74E11"/>
    <w:rsid w:val="00C82D62"/>
    <w:rsid w:val="00C927F2"/>
    <w:rsid w:val="00C960DE"/>
    <w:rsid w:val="00CA1F73"/>
    <w:rsid w:val="00CA6FA2"/>
    <w:rsid w:val="00CB24C2"/>
    <w:rsid w:val="00CD26AC"/>
    <w:rsid w:val="00CE087F"/>
    <w:rsid w:val="00CF1C13"/>
    <w:rsid w:val="00CF71B4"/>
    <w:rsid w:val="00D0696F"/>
    <w:rsid w:val="00D10D98"/>
    <w:rsid w:val="00D128B0"/>
    <w:rsid w:val="00D17FE3"/>
    <w:rsid w:val="00D21F40"/>
    <w:rsid w:val="00D23AD0"/>
    <w:rsid w:val="00D24DE1"/>
    <w:rsid w:val="00D25293"/>
    <w:rsid w:val="00D26F9E"/>
    <w:rsid w:val="00D369F6"/>
    <w:rsid w:val="00D37537"/>
    <w:rsid w:val="00D37F9B"/>
    <w:rsid w:val="00D47AF6"/>
    <w:rsid w:val="00D61B85"/>
    <w:rsid w:val="00D6500F"/>
    <w:rsid w:val="00D70A77"/>
    <w:rsid w:val="00D74382"/>
    <w:rsid w:val="00D76FA4"/>
    <w:rsid w:val="00D849FF"/>
    <w:rsid w:val="00DA0BDC"/>
    <w:rsid w:val="00DB59D7"/>
    <w:rsid w:val="00DB75E0"/>
    <w:rsid w:val="00DC28F1"/>
    <w:rsid w:val="00DD7501"/>
    <w:rsid w:val="00DE6494"/>
    <w:rsid w:val="00DF24A7"/>
    <w:rsid w:val="00DF6125"/>
    <w:rsid w:val="00DF79D0"/>
    <w:rsid w:val="00E06306"/>
    <w:rsid w:val="00E154EB"/>
    <w:rsid w:val="00E17DD6"/>
    <w:rsid w:val="00E2469A"/>
    <w:rsid w:val="00E32382"/>
    <w:rsid w:val="00E40762"/>
    <w:rsid w:val="00E40EB3"/>
    <w:rsid w:val="00E65C78"/>
    <w:rsid w:val="00E65E8A"/>
    <w:rsid w:val="00E67E28"/>
    <w:rsid w:val="00E76256"/>
    <w:rsid w:val="00E843C3"/>
    <w:rsid w:val="00E84932"/>
    <w:rsid w:val="00E971FE"/>
    <w:rsid w:val="00EB6AA1"/>
    <w:rsid w:val="00EC171E"/>
    <w:rsid w:val="00EC1A90"/>
    <w:rsid w:val="00EC5D81"/>
    <w:rsid w:val="00ED344E"/>
    <w:rsid w:val="00EE300B"/>
    <w:rsid w:val="00EE37B5"/>
    <w:rsid w:val="00EE5A15"/>
    <w:rsid w:val="00EF5F8F"/>
    <w:rsid w:val="00EF6653"/>
    <w:rsid w:val="00F17697"/>
    <w:rsid w:val="00F3479A"/>
    <w:rsid w:val="00F363E4"/>
    <w:rsid w:val="00F374AD"/>
    <w:rsid w:val="00F41641"/>
    <w:rsid w:val="00F4636D"/>
    <w:rsid w:val="00F51113"/>
    <w:rsid w:val="00F60C74"/>
    <w:rsid w:val="00F61C46"/>
    <w:rsid w:val="00F61D4C"/>
    <w:rsid w:val="00FA0083"/>
    <w:rsid w:val="00FA12D4"/>
    <w:rsid w:val="00FA14B9"/>
    <w:rsid w:val="00FA759C"/>
    <w:rsid w:val="00FB0AF3"/>
    <w:rsid w:val="00FC3417"/>
    <w:rsid w:val="00FC5855"/>
    <w:rsid w:val="00FC7327"/>
    <w:rsid w:val="00FD48CB"/>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557740937">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2017-05-02T10:15:00Z</dcterms:created>
  <dcterms:modified xsi:type="dcterms:W3CDTF">2017-05-02T10:15:00Z</dcterms:modified>
</cp:coreProperties>
</file>