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2F" w:rsidRPr="00FF76EB" w:rsidRDefault="0032042F" w:rsidP="0032042F">
      <w:pPr>
        <w:jc w:val="both"/>
        <w:rPr>
          <w:b/>
          <w:szCs w:val="24"/>
        </w:rPr>
      </w:pPr>
      <w:r w:rsidRPr="00FF76EB">
        <w:rPr>
          <w:b/>
          <w:szCs w:val="24"/>
        </w:rPr>
        <w:t>FOR WRITTEN REPLY</w:t>
      </w:r>
    </w:p>
    <w:p w:rsidR="0032042F" w:rsidRPr="00FF76EB" w:rsidRDefault="0032042F" w:rsidP="0032042F">
      <w:pPr>
        <w:pStyle w:val="Heading1"/>
        <w:jc w:val="both"/>
        <w:rPr>
          <w:szCs w:val="24"/>
        </w:rPr>
      </w:pPr>
    </w:p>
    <w:p w:rsidR="0032042F" w:rsidRPr="00FF76EB" w:rsidRDefault="0032042F" w:rsidP="0032042F">
      <w:pPr>
        <w:pStyle w:val="Header"/>
        <w:tabs>
          <w:tab w:val="clear" w:pos="4320"/>
          <w:tab w:val="clear" w:pos="8640"/>
        </w:tabs>
        <w:jc w:val="both"/>
        <w:rPr>
          <w:b/>
          <w:szCs w:val="24"/>
        </w:rPr>
      </w:pPr>
      <w:r w:rsidRPr="00FF76EB">
        <w:rPr>
          <w:b/>
          <w:szCs w:val="24"/>
        </w:rPr>
        <w:t xml:space="preserve">QUESTION NO </w:t>
      </w:r>
      <w:r>
        <w:rPr>
          <w:b/>
          <w:szCs w:val="24"/>
        </w:rPr>
        <w:t>NW844E</w:t>
      </w:r>
    </w:p>
    <w:p w:rsidR="0032042F" w:rsidRPr="00FF76EB" w:rsidRDefault="0032042F" w:rsidP="0032042F">
      <w:pPr>
        <w:jc w:val="both"/>
        <w:rPr>
          <w:b/>
          <w:szCs w:val="24"/>
        </w:rPr>
      </w:pPr>
    </w:p>
    <w:p w:rsidR="0032042F" w:rsidRPr="00FF76EB" w:rsidRDefault="0032042F" w:rsidP="0032042F">
      <w:pPr>
        <w:jc w:val="both"/>
        <w:rPr>
          <w:b/>
          <w:szCs w:val="24"/>
        </w:rPr>
      </w:pPr>
      <w:r w:rsidRPr="00FF76EB">
        <w:rPr>
          <w:b/>
          <w:szCs w:val="24"/>
        </w:rPr>
        <w:t xml:space="preserve">PUBLISHED IN INTERNAL QUESTION PAPER NO: </w:t>
      </w:r>
      <w:r w:rsidR="000C67C9">
        <w:rPr>
          <w:b/>
          <w:szCs w:val="24"/>
        </w:rPr>
        <w:t xml:space="preserve">11 of </w:t>
      </w:r>
      <w:r w:rsidRPr="00FF76EB">
        <w:rPr>
          <w:b/>
          <w:szCs w:val="24"/>
        </w:rPr>
        <w:t>2017</w:t>
      </w:r>
      <w:r w:rsidR="003128DF">
        <w:rPr>
          <w:b/>
          <w:szCs w:val="24"/>
        </w:rPr>
        <w:t xml:space="preserve"> (question nr 785)</w:t>
      </w:r>
      <w:bookmarkStart w:id="0" w:name="_GoBack"/>
      <w:bookmarkEnd w:id="0"/>
    </w:p>
    <w:p w:rsidR="0032042F" w:rsidRPr="00FF76EB" w:rsidRDefault="0032042F" w:rsidP="0032042F">
      <w:pPr>
        <w:jc w:val="both"/>
        <w:rPr>
          <w:b/>
          <w:bCs/>
          <w:szCs w:val="24"/>
        </w:rPr>
      </w:pPr>
    </w:p>
    <w:p w:rsidR="0032042F" w:rsidRPr="00FF76EB" w:rsidRDefault="0032042F" w:rsidP="0032042F">
      <w:pPr>
        <w:jc w:val="both"/>
        <w:outlineLvl w:val="0"/>
        <w:rPr>
          <w:rFonts w:eastAsia="Calibri"/>
          <w:b/>
          <w:szCs w:val="24"/>
          <w:lang w:val="af-ZA"/>
        </w:rPr>
      </w:pPr>
      <w:r w:rsidRPr="00FF76EB">
        <w:rPr>
          <w:rFonts w:eastAsia="Calibri"/>
          <w:b/>
          <w:szCs w:val="24"/>
          <w:lang w:val="af-ZA"/>
        </w:rPr>
        <w:t>Hon SV Kalyan (DA) to ask the Minister of International Relations and Cooperation:</w:t>
      </w:r>
    </w:p>
    <w:p w:rsidR="0032042F" w:rsidRPr="00FF76EB" w:rsidRDefault="0032042F" w:rsidP="0032042F">
      <w:pPr>
        <w:ind w:left="851"/>
        <w:jc w:val="both"/>
        <w:rPr>
          <w:rFonts w:eastAsia="Calibri"/>
          <w:szCs w:val="24"/>
          <w:lang w:val="af-ZA"/>
        </w:rPr>
      </w:pPr>
    </w:p>
    <w:p w:rsidR="0032042F" w:rsidRDefault="0032042F" w:rsidP="0032042F">
      <w:pPr>
        <w:jc w:val="both"/>
        <w:rPr>
          <w:rFonts w:eastAsia="Calibri"/>
          <w:szCs w:val="24"/>
          <w:lang w:val="af-ZA"/>
        </w:rPr>
      </w:pPr>
      <w:r w:rsidRPr="00FF76EB">
        <w:rPr>
          <w:rFonts w:eastAsia="Calibri"/>
          <w:szCs w:val="24"/>
        </w:rPr>
        <w:t>(a) What are the full details of the (i) grievances and (ii) disciplinary cases that (</w:t>
      </w:r>
      <w:proofErr w:type="spellStart"/>
      <w:r w:rsidRPr="00FF76EB">
        <w:rPr>
          <w:rFonts w:eastAsia="Calibri"/>
          <w:szCs w:val="24"/>
        </w:rPr>
        <w:t>aa</w:t>
      </w:r>
      <w:proofErr w:type="spellEnd"/>
      <w:r w:rsidRPr="00FF76EB">
        <w:rPr>
          <w:rFonts w:eastAsia="Calibri"/>
          <w:szCs w:val="24"/>
        </w:rPr>
        <w:t>) her department and (bb) each foreign mission of South Africa dealt with in the 2015–16 financial year, (b) how many were concluded, (c) what is the nature of sanctions that were meted out in each case, (d) how many are still pending and (e) what are the reasons?</w:t>
      </w:r>
      <w:r w:rsidRPr="00FF76EB">
        <w:rPr>
          <w:rFonts w:eastAsia="Calibri"/>
          <w:szCs w:val="24"/>
          <w:lang w:val="af-ZA"/>
        </w:rPr>
        <w:tab/>
      </w:r>
    </w:p>
    <w:p w:rsidR="0032042F" w:rsidRPr="00324C29" w:rsidRDefault="0032042F" w:rsidP="0032042F">
      <w:pPr>
        <w:jc w:val="both"/>
        <w:rPr>
          <w:rFonts w:eastAsia="Calibri"/>
          <w:szCs w:val="24"/>
          <w:lang w:val="af-ZA"/>
        </w:rPr>
      </w:pP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r w:rsidRPr="00EA1A6F">
        <w:rPr>
          <w:snapToGrid w:val="0"/>
          <w:szCs w:val="24"/>
        </w:rPr>
        <w:t>The reply to the question is as follows:</w:t>
      </w: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r w:rsidRPr="00EA1A6F">
        <w:rPr>
          <w:snapToGrid w:val="0"/>
          <w:szCs w:val="24"/>
        </w:rPr>
        <w:t xml:space="preserve">Quote: </w:t>
      </w:r>
    </w:p>
    <w:p w:rsidR="0032042F" w:rsidRPr="00EA1A6F" w:rsidRDefault="0032042F" w:rsidP="0032042F">
      <w:pPr>
        <w:jc w:val="both"/>
        <w:rPr>
          <w:szCs w:val="24"/>
        </w:rPr>
      </w:pPr>
    </w:p>
    <w:p w:rsidR="0032042F" w:rsidRPr="00EA1A6F" w:rsidRDefault="0032042F" w:rsidP="0032042F">
      <w:pPr>
        <w:pStyle w:val="ListParagraph"/>
        <w:numPr>
          <w:ilvl w:val="0"/>
          <w:numId w:val="1"/>
        </w:numPr>
        <w:contextualSpacing w:val="0"/>
        <w:jc w:val="both"/>
        <w:rPr>
          <w:szCs w:val="24"/>
          <w:lang w:eastAsia="en-US"/>
        </w:rPr>
      </w:pPr>
      <w:r w:rsidRPr="00EA1A6F">
        <w:rPr>
          <w:szCs w:val="24"/>
          <w:lang w:eastAsia="en-US"/>
        </w:rPr>
        <w:t>(i) Total number of grievances handled during the period 01 April 2015 to 31 March 2016 is thirty two (32)</w:t>
      </w:r>
      <w:r w:rsidRPr="00EA1A6F">
        <w:rPr>
          <w:color w:val="000000"/>
          <w:szCs w:val="24"/>
          <w:lang w:eastAsia="en-US"/>
        </w:rPr>
        <w:t>, and all thirty two (32) were concluded.</w:t>
      </w:r>
    </w:p>
    <w:p w:rsidR="0032042F" w:rsidRPr="00EA1A6F" w:rsidRDefault="0032042F" w:rsidP="0032042F">
      <w:pPr>
        <w:pStyle w:val="ListParagraph"/>
        <w:ind w:left="0"/>
        <w:contextualSpacing w:val="0"/>
        <w:jc w:val="both"/>
        <w:rPr>
          <w:szCs w:val="24"/>
          <w:lang w:eastAsia="en-US"/>
        </w:rPr>
      </w:pPr>
      <w:r w:rsidRPr="00EA1A6F">
        <w:rPr>
          <w:szCs w:val="24"/>
          <w:lang w:eastAsia="en-U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843"/>
        <w:gridCol w:w="1808"/>
      </w:tblGrid>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b/>
                <w:szCs w:val="24"/>
                <w:lang w:eastAsia="en-US"/>
              </w:rPr>
            </w:pPr>
            <w:r w:rsidRPr="00DD4958">
              <w:rPr>
                <w:b/>
                <w:szCs w:val="24"/>
                <w:lang w:eastAsia="en-US"/>
              </w:rPr>
              <w:t>Nature of grievance</w:t>
            </w:r>
          </w:p>
        </w:tc>
        <w:tc>
          <w:tcPr>
            <w:tcW w:w="1843" w:type="dxa"/>
            <w:shd w:val="clear" w:color="auto" w:fill="auto"/>
          </w:tcPr>
          <w:p w:rsidR="0032042F" w:rsidRPr="00DD4958" w:rsidRDefault="0032042F" w:rsidP="00961108">
            <w:pPr>
              <w:pStyle w:val="ListParagraph"/>
              <w:ind w:left="0"/>
              <w:contextualSpacing w:val="0"/>
              <w:jc w:val="both"/>
              <w:rPr>
                <w:b/>
                <w:szCs w:val="24"/>
                <w:lang w:eastAsia="en-US"/>
              </w:rPr>
            </w:pPr>
            <w:r w:rsidRPr="00DD4958">
              <w:rPr>
                <w:b/>
                <w:szCs w:val="24"/>
                <w:lang w:eastAsia="en-US"/>
              </w:rPr>
              <w:t xml:space="preserve">Number </w:t>
            </w:r>
          </w:p>
        </w:tc>
        <w:tc>
          <w:tcPr>
            <w:tcW w:w="1808" w:type="dxa"/>
            <w:shd w:val="clear" w:color="auto" w:fill="auto"/>
          </w:tcPr>
          <w:p w:rsidR="0032042F" w:rsidRPr="00DD4958" w:rsidRDefault="0032042F" w:rsidP="00961108">
            <w:pPr>
              <w:pStyle w:val="ListParagraph"/>
              <w:ind w:left="0"/>
              <w:contextualSpacing w:val="0"/>
              <w:jc w:val="both"/>
              <w:rPr>
                <w:b/>
                <w:szCs w:val="24"/>
                <w:lang w:eastAsia="en-US"/>
              </w:rPr>
            </w:pPr>
            <w:r w:rsidRPr="00DD4958">
              <w:rPr>
                <w:b/>
                <w:szCs w:val="24"/>
                <w:lang w:eastAsia="en-US"/>
              </w:rPr>
              <w:t>Status</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Unfair PMDS process</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2 (two)</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rPr>
          <w:trHeight w:val="493"/>
        </w:trPr>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Unfair recruitment and selection process</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3 (three)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 xml:space="preserve">Verbal abuse and intimidation </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2 (two)</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Failure by the department to assist officials serving abroad with medical aids</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Disapproval of resignation</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Unilateral decision by the CFO to discontinue education allowance</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6 (six)</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Failure by the department to upgrade the officials’ qualifications from FAA to MAC</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4 (four)</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proofErr w:type="spellStart"/>
            <w:r w:rsidRPr="00DD4958">
              <w:rPr>
                <w:szCs w:val="24"/>
                <w:lang w:eastAsia="en-US"/>
              </w:rPr>
              <w:t>Harrasment</w:t>
            </w:r>
            <w:proofErr w:type="spellEnd"/>
            <w:r w:rsidRPr="00DD4958">
              <w:rPr>
                <w:szCs w:val="24"/>
                <w:lang w:eastAsia="en-US"/>
              </w:rPr>
              <w:t xml:space="preserve"> and victimization</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Disapproval to undergo surgery abroad</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Exclusion from management meetings</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Disapproval of an application to attend MAC bridging course</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Disapproval of transfer back to South Africa</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Failure to upgrade post to high level</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4 (four)</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Disapproval to attend a course</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False accusations</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2 (two)</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proofErr w:type="spellStart"/>
            <w:r w:rsidRPr="00DD4958">
              <w:rPr>
                <w:szCs w:val="24"/>
                <w:lang w:eastAsia="en-US"/>
              </w:rPr>
              <w:t>Non payment</w:t>
            </w:r>
            <w:proofErr w:type="spellEnd"/>
            <w:r w:rsidRPr="00DD4958">
              <w:rPr>
                <w:szCs w:val="24"/>
                <w:lang w:eastAsia="en-US"/>
              </w:rPr>
              <w:t xml:space="preserve"> of COLA</w:t>
            </w: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1 (one)</w:t>
            </w: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r w:rsidRPr="00DD4958">
              <w:rPr>
                <w:szCs w:val="24"/>
                <w:lang w:eastAsia="en-US"/>
              </w:rPr>
              <w:t>Finalised</w:t>
            </w:r>
          </w:p>
        </w:tc>
      </w:tr>
      <w:tr w:rsidR="0032042F" w:rsidRPr="00DD4958" w:rsidTr="00961108">
        <w:tc>
          <w:tcPr>
            <w:tcW w:w="5245" w:type="dxa"/>
            <w:shd w:val="clear" w:color="auto" w:fill="auto"/>
          </w:tcPr>
          <w:p w:rsidR="0032042F" w:rsidRPr="00DD4958" w:rsidRDefault="0032042F" w:rsidP="00961108">
            <w:pPr>
              <w:pStyle w:val="ListParagraph"/>
              <w:ind w:left="0"/>
              <w:contextualSpacing w:val="0"/>
              <w:jc w:val="both"/>
              <w:rPr>
                <w:szCs w:val="24"/>
                <w:lang w:eastAsia="en-US"/>
              </w:rPr>
            </w:pPr>
          </w:p>
        </w:tc>
        <w:tc>
          <w:tcPr>
            <w:tcW w:w="1843" w:type="dxa"/>
            <w:shd w:val="clear" w:color="auto" w:fill="auto"/>
          </w:tcPr>
          <w:p w:rsidR="0032042F" w:rsidRPr="00DD4958" w:rsidRDefault="0032042F" w:rsidP="00961108">
            <w:pPr>
              <w:pStyle w:val="ListParagraph"/>
              <w:ind w:left="0"/>
              <w:contextualSpacing w:val="0"/>
              <w:jc w:val="both"/>
              <w:rPr>
                <w:szCs w:val="24"/>
                <w:lang w:eastAsia="en-US"/>
              </w:rPr>
            </w:pPr>
          </w:p>
        </w:tc>
        <w:tc>
          <w:tcPr>
            <w:tcW w:w="1808" w:type="dxa"/>
            <w:shd w:val="clear" w:color="auto" w:fill="auto"/>
          </w:tcPr>
          <w:p w:rsidR="0032042F" w:rsidRPr="00DD4958" w:rsidRDefault="0032042F" w:rsidP="00961108">
            <w:pPr>
              <w:pStyle w:val="ListParagraph"/>
              <w:ind w:left="0"/>
              <w:contextualSpacing w:val="0"/>
              <w:jc w:val="both"/>
              <w:rPr>
                <w:szCs w:val="24"/>
                <w:lang w:eastAsia="en-US"/>
              </w:rPr>
            </w:pPr>
          </w:p>
        </w:tc>
      </w:tr>
    </w:tbl>
    <w:p w:rsidR="0032042F" w:rsidRPr="00EA1A6F" w:rsidRDefault="0032042F" w:rsidP="0032042F">
      <w:pPr>
        <w:pStyle w:val="ListParagraph"/>
        <w:ind w:left="0"/>
        <w:contextualSpacing w:val="0"/>
        <w:jc w:val="both"/>
        <w:rPr>
          <w:szCs w:val="24"/>
          <w:lang w:eastAsia="en-US"/>
        </w:rPr>
      </w:pPr>
    </w:p>
    <w:p w:rsidR="0032042F" w:rsidRPr="00EA1A6F" w:rsidRDefault="0032042F" w:rsidP="0032042F">
      <w:pPr>
        <w:pStyle w:val="ListParagraph"/>
        <w:ind w:left="0"/>
        <w:contextualSpacing w:val="0"/>
        <w:jc w:val="both"/>
        <w:rPr>
          <w:szCs w:val="24"/>
          <w:lang w:eastAsia="en-US"/>
        </w:rPr>
      </w:pPr>
    </w:p>
    <w:p w:rsidR="0032042F" w:rsidRPr="00EA1A6F" w:rsidRDefault="0032042F" w:rsidP="0032042F">
      <w:pPr>
        <w:pStyle w:val="ListParagraph"/>
        <w:ind w:left="1275"/>
        <w:contextualSpacing w:val="0"/>
        <w:jc w:val="both"/>
        <w:rPr>
          <w:szCs w:val="24"/>
          <w:lang w:eastAsia="en-US"/>
        </w:rPr>
      </w:pPr>
      <w:r w:rsidRPr="00EA1A6F">
        <w:rPr>
          <w:szCs w:val="24"/>
          <w:lang w:eastAsia="en-US"/>
        </w:rPr>
        <w:t>(</w:t>
      </w:r>
      <w:proofErr w:type="gramStart"/>
      <w:r w:rsidRPr="00EA1A6F">
        <w:rPr>
          <w:szCs w:val="24"/>
          <w:lang w:eastAsia="en-US"/>
        </w:rPr>
        <w:t>ii</w:t>
      </w:r>
      <w:proofErr w:type="gramEnd"/>
      <w:r w:rsidRPr="00EA1A6F">
        <w:rPr>
          <w:szCs w:val="24"/>
          <w:lang w:eastAsia="en-US"/>
        </w:rPr>
        <w:t>) Twelve (12) misconduct cases were handled and finalised during the period 01 April 2015 to 31 March 2016. See the table in paragraph (C)</w:t>
      </w:r>
    </w:p>
    <w:p w:rsidR="0032042F" w:rsidRPr="00EA1A6F" w:rsidRDefault="0032042F" w:rsidP="0032042F">
      <w:pPr>
        <w:pStyle w:val="ListParagraph"/>
        <w:contextualSpacing w:val="0"/>
        <w:jc w:val="both"/>
        <w:rPr>
          <w:szCs w:val="24"/>
          <w:lang w:eastAsia="en-US"/>
        </w:rPr>
      </w:pPr>
    </w:p>
    <w:p w:rsidR="0032042F" w:rsidRPr="00EA1A6F" w:rsidRDefault="0032042F" w:rsidP="0032042F">
      <w:pPr>
        <w:pStyle w:val="ListParagraph"/>
        <w:numPr>
          <w:ilvl w:val="0"/>
          <w:numId w:val="1"/>
        </w:numPr>
        <w:contextualSpacing w:val="0"/>
        <w:jc w:val="both"/>
        <w:rPr>
          <w:szCs w:val="24"/>
          <w:lang w:eastAsia="en-US"/>
        </w:rPr>
      </w:pPr>
      <w:r w:rsidRPr="00EA1A6F">
        <w:rPr>
          <w:szCs w:val="24"/>
          <w:lang w:eastAsia="en-US"/>
        </w:rPr>
        <w:t>Twelve (12) grievances were from officials stationed abroad while twenty (20) were from officials at DIRCO Head Office</w:t>
      </w:r>
    </w:p>
    <w:p w:rsidR="0032042F" w:rsidRPr="00EA1A6F" w:rsidRDefault="0032042F" w:rsidP="0032042F">
      <w:pPr>
        <w:pStyle w:val="ListParagraph"/>
        <w:ind w:left="1275"/>
        <w:contextualSpacing w:val="0"/>
        <w:jc w:val="both"/>
        <w:rPr>
          <w:szCs w:val="24"/>
          <w:lang w:eastAsia="en-US"/>
        </w:rPr>
      </w:pPr>
    </w:p>
    <w:p w:rsidR="0032042F" w:rsidRPr="00EA1A6F" w:rsidRDefault="0032042F" w:rsidP="0032042F">
      <w:pPr>
        <w:pStyle w:val="ListParagraph"/>
        <w:ind w:left="1276" w:hanging="567"/>
        <w:contextualSpacing w:val="0"/>
        <w:jc w:val="both"/>
        <w:rPr>
          <w:szCs w:val="24"/>
          <w:lang w:eastAsia="en-US"/>
        </w:rPr>
      </w:pPr>
      <w:r w:rsidRPr="00EA1A6F">
        <w:rPr>
          <w:szCs w:val="24"/>
          <w:lang w:eastAsia="en-US"/>
        </w:rPr>
        <w:lastRenderedPageBreak/>
        <w:t>(</w:t>
      </w:r>
      <w:proofErr w:type="gramStart"/>
      <w:r w:rsidRPr="00EA1A6F">
        <w:rPr>
          <w:szCs w:val="24"/>
          <w:lang w:eastAsia="en-US"/>
        </w:rPr>
        <w:t>bb</w:t>
      </w:r>
      <w:proofErr w:type="gramEnd"/>
      <w:r w:rsidRPr="00EA1A6F">
        <w:rPr>
          <w:szCs w:val="24"/>
          <w:lang w:eastAsia="en-US"/>
        </w:rPr>
        <w:t xml:space="preserve">) </w:t>
      </w:r>
      <w:r w:rsidRPr="00EA1A6F">
        <w:rPr>
          <w:szCs w:val="24"/>
          <w:lang w:eastAsia="en-US"/>
        </w:rPr>
        <w:tab/>
        <w:t>One (1) misconduct case was for the official stationed abroad and the remaining eleven (11) were for officials at DIRCO Head Office</w:t>
      </w:r>
    </w:p>
    <w:p w:rsidR="0032042F" w:rsidRPr="00EA1A6F" w:rsidRDefault="0032042F" w:rsidP="0032042F">
      <w:pPr>
        <w:pStyle w:val="ListParagraph"/>
        <w:ind w:left="1276" w:hanging="567"/>
        <w:contextualSpacing w:val="0"/>
        <w:jc w:val="both"/>
        <w:rPr>
          <w:szCs w:val="24"/>
          <w:lang w:eastAsia="en-US"/>
        </w:rPr>
      </w:pPr>
    </w:p>
    <w:p w:rsidR="0032042F" w:rsidRPr="00EA1A6F" w:rsidRDefault="0032042F" w:rsidP="0032042F">
      <w:pPr>
        <w:pStyle w:val="ListParagraph"/>
        <w:numPr>
          <w:ilvl w:val="0"/>
          <w:numId w:val="1"/>
        </w:numPr>
        <w:contextualSpacing w:val="0"/>
        <w:jc w:val="both"/>
        <w:rPr>
          <w:szCs w:val="24"/>
          <w:lang w:eastAsia="en-US"/>
        </w:rPr>
      </w:pPr>
      <w:r w:rsidRPr="00EA1A6F">
        <w:rPr>
          <w:szCs w:val="24"/>
          <w:lang w:eastAsia="en-US"/>
        </w:rPr>
        <w:t>The nature of sanctions that were meted out in each misconduct case are as follows:</w:t>
      </w:r>
    </w:p>
    <w:p w:rsidR="0032042F" w:rsidRPr="00EA1A6F" w:rsidRDefault="0032042F" w:rsidP="0032042F">
      <w:pPr>
        <w:pStyle w:val="ListParagraph"/>
        <w:rPr>
          <w:szCs w:val="24"/>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5"/>
      </w:tblGrid>
      <w:tr w:rsidR="0032042F" w:rsidRPr="00DD4958" w:rsidTr="00961108">
        <w:tc>
          <w:tcPr>
            <w:tcW w:w="3544" w:type="dxa"/>
            <w:shd w:val="clear" w:color="auto" w:fill="auto"/>
          </w:tcPr>
          <w:p w:rsidR="0032042F" w:rsidRPr="00DD4958" w:rsidRDefault="0032042F" w:rsidP="00961108">
            <w:pPr>
              <w:pStyle w:val="ListParagraph"/>
              <w:ind w:left="0"/>
              <w:rPr>
                <w:b/>
                <w:szCs w:val="24"/>
                <w:lang w:eastAsia="en-US"/>
              </w:rPr>
            </w:pPr>
            <w:r w:rsidRPr="00DD4958">
              <w:rPr>
                <w:b/>
                <w:szCs w:val="24"/>
                <w:lang w:eastAsia="en-US"/>
              </w:rPr>
              <w:t>Nature of Misconduct</w:t>
            </w:r>
          </w:p>
        </w:tc>
        <w:tc>
          <w:tcPr>
            <w:tcW w:w="3685" w:type="dxa"/>
            <w:shd w:val="clear" w:color="auto" w:fill="auto"/>
          </w:tcPr>
          <w:p w:rsidR="0032042F" w:rsidRPr="00DD4958" w:rsidRDefault="0032042F" w:rsidP="00961108">
            <w:pPr>
              <w:pStyle w:val="ListParagraph"/>
              <w:rPr>
                <w:b/>
                <w:szCs w:val="24"/>
                <w:lang w:eastAsia="en-US"/>
              </w:rPr>
            </w:pPr>
            <w:r w:rsidRPr="00DD4958">
              <w:rPr>
                <w:b/>
                <w:szCs w:val="24"/>
                <w:lang w:eastAsia="en-US"/>
              </w:rPr>
              <w:t>Sanction</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Plagiarism</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Not Guilty</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Fraud</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Dismissal</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Insubordination</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Not Guilty</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Breach of Security</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Final Written Warning  plus recovery of COLA Allowance</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Failure to disclose conflict of interest</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One month Suspension without pay plus final written warning</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proofErr w:type="spellStart"/>
            <w:r w:rsidRPr="00DD4958">
              <w:rPr>
                <w:szCs w:val="24"/>
                <w:lang w:eastAsia="en-US"/>
              </w:rPr>
              <w:t>Direlection</w:t>
            </w:r>
            <w:proofErr w:type="spellEnd"/>
            <w:r w:rsidRPr="00DD4958">
              <w:rPr>
                <w:szCs w:val="24"/>
                <w:lang w:eastAsia="en-US"/>
              </w:rPr>
              <w:t xml:space="preserve"> of duty</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Written Warning</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Contravention of the procurement policy</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Written warning</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Gross negligence and dishonesty</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Final written warning</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Fraud</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Final written warning plus one month suspension without pay</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Misrepresentation and fraud</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Dismissal</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Irregular processes of the DBAC</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Final written warning plus counselling</w:t>
            </w:r>
          </w:p>
        </w:tc>
      </w:tr>
      <w:tr w:rsidR="0032042F" w:rsidRPr="00DD4958" w:rsidTr="00961108">
        <w:tc>
          <w:tcPr>
            <w:tcW w:w="3544"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Absenteeism</w:t>
            </w:r>
          </w:p>
        </w:tc>
        <w:tc>
          <w:tcPr>
            <w:tcW w:w="3685" w:type="dxa"/>
            <w:shd w:val="clear" w:color="auto" w:fill="auto"/>
          </w:tcPr>
          <w:p w:rsidR="0032042F" w:rsidRPr="00DD4958" w:rsidRDefault="0032042F" w:rsidP="00961108">
            <w:pPr>
              <w:pStyle w:val="ListParagraph"/>
              <w:ind w:left="0"/>
              <w:rPr>
                <w:szCs w:val="24"/>
                <w:lang w:eastAsia="en-US"/>
              </w:rPr>
            </w:pPr>
            <w:r w:rsidRPr="00DD4958">
              <w:rPr>
                <w:szCs w:val="24"/>
                <w:lang w:eastAsia="en-US"/>
              </w:rPr>
              <w:t>Written warning</w:t>
            </w:r>
          </w:p>
        </w:tc>
      </w:tr>
    </w:tbl>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32042F" w:rsidRPr="00EA1A6F" w:rsidRDefault="0032042F" w:rsidP="003204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r w:rsidRPr="00EA1A6F">
        <w:rPr>
          <w:snapToGrid w:val="0"/>
          <w:szCs w:val="24"/>
        </w:rPr>
        <w:t>All the cases have been finalised</w:t>
      </w: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1275"/>
        <w:jc w:val="both"/>
        <w:rPr>
          <w:snapToGrid w:val="0"/>
          <w:szCs w:val="24"/>
        </w:rPr>
      </w:pPr>
    </w:p>
    <w:p w:rsidR="0032042F" w:rsidRPr="00EA1A6F" w:rsidRDefault="0032042F" w:rsidP="003204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r w:rsidRPr="00EA1A6F">
        <w:rPr>
          <w:snapToGrid w:val="0"/>
          <w:szCs w:val="24"/>
        </w:rPr>
        <w:t>See the answer in (d)</w:t>
      </w: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1275"/>
        <w:jc w:val="both"/>
        <w:rPr>
          <w:snapToGrid w:val="0"/>
          <w:szCs w:val="24"/>
        </w:rPr>
      </w:pP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napToGrid w:val="0"/>
          <w:szCs w:val="24"/>
        </w:rPr>
      </w:pPr>
      <w:r w:rsidRPr="00EA1A6F">
        <w:rPr>
          <w:snapToGrid w:val="0"/>
          <w:szCs w:val="24"/>
        </w:rPr>
        <w:t>Unquote.</w:t>
      </w:r>
    </w:p>
    <w:p w:rsidR="0032042F" w:rsidRPr="00EA1A6F" w:rsidRDefault="0032042F" w:rsidP="0032042F">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jc w:val="both"/>
        <w:rPr>
          <w:szCs w:val="24"/>
        </w:rPr>
      </w:pPr>
    </w:p>
    <w:p w:rsidR="007F1FF0" w:rsidRDefault="007F1FF0"/>
    <w:sectPr w:rsidR="007F1FF0" w:rsidSect="00190F1B">
      <w:pgSz w:w="11907" w:h="16840" w:code="9"/>
      <w:pgMar w:top="1134" w:right="1134" w:bottom="1247" w:left="127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F8" w:rsidRDefault="00CF2CF8" w:rsidP="0032042F">
      <w:r>
        <w:separator/>
      </w:r>
    </w:p>
  </w:endnote>
  <w:endnote w:type="continuationSeparator" w:id="0">
    <w:p w:rsidR="00CF2CF8" w:rsidRDefault="00CF2CF8" w:rsidP="0032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F8" w:rsidRDefault="00CF2CF8" w:rsidP="0032042F">
      <w:r>
        <w:separator/>
      </w:r>
    </w:p>
  </w:footnote>
  <w:footnote w:type="continuationSeparator" w:id="0">
    <w:p w:rsidR="00CF2CF8" w:rsidRDefault="00CF2CF8" w:rsidP="00320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CF3"/>
    <w:multiLevelType w:val="hybridMultilevel"/>
    <w:tmpl w:val="BA12E8D2"/>
    <w:lvl w:ilvl="0" w:tplc="EBB05D18">
      <w:start w:val="1"/>
      <w:numFmt w:val="lowerLetter"/>
      <w:lvlText w:val="(%1)"/>
      <w:lvlJc w:val="left"/>
      <w:pPr>
        <w:ind w:left="1080" w:hanging="360"/>
      </w:pPr>
      <w:rPr>
        <w:rFonts w:hint="eastAsia"/>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2F"/>
    <w:rsid w:val="000C67C9"/>
    <w:rsid w:val="001A2B7F"/>
    <w:rsid w:val="00205C9F"/>
    <w:rsid w:val="003128DF"/>
    <w:rsid w:val="0032042F"/>
    <w:rsid w:val="007F1FF0"/>
    <w:rsid w:val="00CF2CF8"/>
    <w:rsid w:val="00E04F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2F"/>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3204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42F"/>
    <w:rPr>
      <w:rFonts w:ascii="Times New Roman" w:eastAsia="Times New Roman" w:hAnsi="Times New Roman" w:cs="Times New Roman"/>
      <w:b/>
      <w:sz w:val="24"/>
      <w:szCs w:val="20"/>
      <w:lang w:val="en-GB" w:eastAsia="en-ZA"/>
    </w:rPr>
  </w:style>
  <w:style w:type="paragraph" w:styleId="Header">
    <w:name w:val="header"/>
    <w:basedOn w:val="Normal"/>
    <w:link w:val="HeaderChar"/>
    <w:uiPriority w:val="99"/>
    <w:rsid w:val="0032042F"/>
    <w:pPr>
      <w:tabs>
        <w:tab w:val="center" w:pos="4320"/>
        <w:tab w:val="right" w:pos="8640"/>
      </w:tabs>
    </w:pPr>
  </w:style>
  <w:style w:type="character" w:customStyle="1" w:styleId="HeaderChar">
    <w:name w:val="Header Char"/>
    <w:basedOn w:val="DefaultParagraphFont"/>
    <w:link w:val="Header"/>
    <w:uiPriority w:val="99"/>
    <w:rsid w:val="0032042F"/>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32042F"/>
    <w:pPr>
      <w:tabs>
        <w:tab w:val="center" w:pos="4320"/>
        <w:tab w:val="right" w:pos="8640"/>
      </w:tabs>
    </w:pPr>
  </w:style>
  <w:style w:type="character" w:customStyle="1" w:styleId="FooterChar">
    <w:name w:val="Footer Char"/>
    <w:basedOn w:val="DefaultParagraphFont"/>
    <w:link w:val="Footer"/>
    <w:semiHidden/>
    <w:rsid w:val="0032042F"/>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32042F"/>
  </w:style>
  <w:style w:type="paragraph" w:styleId="ListParagraph">
    <w:name w:val="List Paragraph"/>
    <w:basedOn w:val="Normal"/>
    <w:uiPriority w:val="34"/>
    <w:qFormat/>
    <w:rsid w:val="00320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2F"/>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3204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042F"/>
    <w:rPr>
      <w:rFonts w:ascii="Times New Roman" w:eastAsia="Times New Roman" w:hAnsi="Times New Roman" w:cs="Times New Roman"/>
      <w:b/>
      <w:sz w:val="24"/>
      <w:szCs w:val="20"/>
      <w:lang w:val="en-GB" w:eastAsia="en-ZA"/>
    </w:rPr>
  </w:style>
  <w:style w:type="paragraph" w:styleId="Header">
    <w:name w:val="header"/>
    <w:basedOn w:val="Normal"/>
    <w:link w:val="HeaderChar"/>
    <w:uiPriority w:val="99"/>
    <w:rsid w:val="0032042F"/>
    <w:pPr>
      <w:tabs>
        <w:tab w:val="center" w:pos="4320"/>
        <w:tab w:val="right" w:pos="8640"/>
      </w:tabs>
    </w:pPr>
  </w:style>
  <w:style w:type="character" w:customStyle="1" w:styleId="HeaderChar">
    <w:name w:val="Header Char"/>
    <w:basedOn w:val="DefaultParagraphFont"/>
    <w:link w:val="Header"/>
    <w:uiPriority w:val="99"/>
    <w:rsid w:val="0032042F"/>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32042F"/>
    <w:pPr>
      <w:tabs>
        <w:tab w:val="center" w:pos="4320"/>
        <w:tab w:val="right" w:pos="8640"/>
      </w:tabs>
    </w:pPr>
  </w:style>
  <w:style w:type="character" w:customStyle="1" w:styleId="FooterChar">
    <w:name w:val="Footer Char"/>
    <w:basedOn w:val="DefaultParagraphFont"/>
    <w:link w:val="Footer"/>
    <w:semiHidden/>
    <w:rsid w:val="0032042F"/>
    <w:rPr>
      <w:rFonts w:ascii="Times New Roman" w:eastAsia="Times New Roman" w:hAnsi="Times New Roman" w:cs="Times New Roman"/>
      <w:sz w:val="24"/>
      <w:szCs w:val="20"/>
      <w:lang w:val="en-GB" w:eastAsia="en-ZA"/>
    </w:rPr>
  </w:style>
  <w:style w:type="character" w:styleId="PageNumber">
    <w:name w:val="page number"/>
    <w:basedOn w:val="DefaultParagraphFont"/>
    <w:semiHidden/>
    <w:rsid w:val="0032042F"/>
  </w:style>
  <w:style w:type="paragraph" w:styleId="ListParagraph">
    <w:name w:val="List Paragraph"/>
    <w:basedOn w:val="Normal"/>
    <w:uiPriority w:val="34"/>
    <w:qFormat/>
    <w:rsid w:val="0032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Khoza, L Mr : Dir African Union, DIRCO</dc:creator>
  <cp:lastModifiedBy>Istain, Z Ms : Office Of the Deputy Minister, DIRCO</cp:lastModifiedBy>
  <cp:revision>2</cp:revision>
  <dcterms:created xsi:type="dcterms:W3CDTF">2017-06-02T13:05:00Z</dcterms:created>
  <dcterms:modified xsi:type="dcterms:W3CDTF">2017-06-02T13:05:00Z</dcterms:modified>
</cp:coreProperties>
</file>