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A3D08" w14:textId="77777777" w:rsidR="002A2E13" w:rsidRDefault="002A2E13" w:rsidP="0070462B">
      <w:pPr>
        <w:spacing w:before="100" w:beforeAutospacing="1" w:after="100" w:afterAutospacing="1" w:line="36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Pr>
          <w:rFonts w:ascii="Arial" w:eastAsia="Calibri" w:hAnsi="Arial" w:cs="Arial"/>
          <w:b/>
          <w:lang w:val="en-ZA"/>
        </w:rPr>
        <w:t>ational Assembly</w:t>
      </w:r>
    </w:p>
    <w:p w14:paraId="64D43418" w14:textId="77777777" w:rsidR="002A2E13" w:rsidRDefault="002A2E13" w:rsidP="0070462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779</w:t>
      </w:r>
    </w:p>
    <w:p w14:paraId="3BDF74E8" w14:textId="68A243F4" w:rsidR="002A2E13" w:rsidRPr="00BD65AC" w:rsidRDefault="002A2E13" w:rsidP="0070462B">
      <w:pPr>
        <w:spacing w:before="100" w:beforeAutospacing="1" w:after="100" w:afterAutospacing="1" w:line="360" w:lineRule="auto"/>
        <w:ind w:left="709" w:hanging="709"/>
        <w:jc w:val="both"/>
        <w:outlineLvl w:val="0"/>
        <w:rPr>
          <w:rFonts w:ascii="Arial" w:hAnsi="Arial" w:cs="Arial"/>
          <w:b/>
          <w:color w:val="000000"/>
        </w:rPr>
      </w:pPr>
      <w:r w:rsidRPr="00BD65AC">
        <w:rPr>
          <w:rFonts w:ascii="Arial" w:hAnsi="Arial" w:cs="Arial"/>
          <w:b/>
          <w:color w:val="000000"/>
        </w:rPr>
        <w:t xml:space="preserve">Mr M S F de Freitas (DA) to </w:t>
      </w:r>
      <w:r w:rsidRPr="00BD65AC">
        <w:rPr>
          <w:rFonts w:ascii="Arial" w:hAnsi="Arial" w:cs="Arial"/>
          <w:b/>
          <w:lang w:val="af-ZA"/>
        </w:rPr>
        <w:t>ask</w:t>
      </w:r>
      <w:r w:rsidRPr="00BD65AC">
        <w:rPr>
          <w:rFonts w:ascii="Arial" w:hAnsi="Arial" w:cs="Arial"/>
          <w:b/>
          <w:color w:val="000000"/>
        </w:rPr>
        <w:t xml:space="preserve"> the Minister of Transport:</w:t>
      </w:r>
    </w:p>
    <w:p w14:paraId="4601EB70" w14:textId="77777777" w:rsidR="0070462B" w:rsidRDefault="002A2E13" w:rsidP="0070462B">
      <w:pPr>
        <w:pStyle w:val="BodyTextIndent2"/>
        <w:tabs>
          <w:tab w:val="clear" w:pos="864"/>
          <w:tab w:val="left" w:pos="720"/>
        </w:tabs>
        <w:spacing w:before="100" w:beforeAutospacing="1" w:after="100" w:afterAutospacing="1"/>
        <w:ind w:left="720" w:firstLine="0"/>
        <w:jc w:val="both"/>
        <w:rPr>
          <w:rFonts w:ascii="Arial" w:hAnsi="Arial" w:cs="Arial"/>
          <w:sz w:val="22"/>
          <w:szCs w:val="22"/>
        </w:rPr>
      </w:pPr>
      <w:r w:rsidRPr="00BD65AC">
        <w:rPr>
          <w:rFonts w:ascii="Arial" w:hAnsi="Arial" w:cs="Arial"/>
          <w:sz w:val="22"/>
          <w:szCs w:val="22"/>
        </w:rPr>
        <w:t xml:space="preserve">With reference to the compensation of rail crash victims and their families (a) in the past three financial years and (b) since 1 January 2019, (i) what amount in compensation has been paid to rail crash victims and their families in each month of the specified period and (ii) how are the compensation amounts calculated? </w:t>
      </w:r>
      <w:r w:rsidRPr="00BD65AC">
        <w:rPr>
          <w:rFonts w:ascii="Arial" w:hAnsi="Arial" w:cs="Arial"/>
          <w:sz w:val="22"/>
          <w:szCs w:val="22"/>
        </w:rPr>
        <w:tab/>
      </w:r>
      <w:r w:rsidRPr="00BD65AC">
        <w:rPr>
          <w:rFonts w:ascii="Arial" w:hAnsi="Arial" w:cs="Arial"/>
          <w:sz w:val="22"/>
          <w:szCs w:val="22"/>
        </w:rPr>
        <w:tab/>
      </w:r>
    </w:p>
    <w:p w14:paraId="0694A93F" w14:textId="3AAFE29E" w:rsidR="002A2E13" w:rsidRPr="0070462B" w:rsidRDefault="0070462B" w:rsidP="0070462B">
      <w:pPr>
        <w:pStyle w:val="BodyTextIndent2"/>
        <w:tabs>
          <w:tab w:val="clear" w:pos="864"/>
          <w:tab w:val="left" w:pos="720"/>
        </w:tabs>
        <w:spacing w:before="100" w:beforeAutospacing="1" w:after="100" w:afterAutospacing="1"/>
        <w:ind w:left="720" w:firstLine="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A2E13" w:rsidRPr="0070462B">
        <w:rPr>
          <w:rFonts w:ascii="Arial" w:hAnsi="Arial" w:cs="Arial"/>
          <w:b/>
          <w:sz w:val="22"/>
          <w:szCs w:val="22"/>
        </w:rPr>
        <w:t>NW902E</w:t>
      </w:r>
    </w:p>
    <w:p w14:paraId="102D9BDF" w14:textId="0DB311FA" w:rsidR="002A2E13" w:rsidRDefault="002A2E13" w:rsidP="0070462B">
      <w:pPr>
        <w:spacing w:after="0" w:line="360" w:lineRule="auto"/>
        <w:jc w:val="both"/>
        <w:outlineLvl w:val="0"/>
        <w:rPr>
          <w:rFonts w:ascii="Arial" w:eastAsia="Calibri" w:hAnsi="Arial" w:cs="Arial"/>
          <w:lang w:val="en-ZA"/>
        </w:rPr>
      </w:pPr>
      <w:r>
        <w:rPr>
          <w:rFonts w:ascii="Arial" w:eastAsia="Calibri" w:hAnsi="Arial" w:cs="Arial"/>
          <w:b/>
          <w:lang w:val="en-ZA"/>
        </w:rPr>
        <w:t>R</w:t>
      </w:r>
      <w:r w:rsidR="0070462B">
        <w:rPr>
          <w:rFonts w:ascii="Arial" w:eastAsia="Calibri" w:hAnsi="Arial" w:cs="Arial"/>
          <w:b/>
          <w:lang w:val="en-ZA"/>
        </w:rPr>
        <w:t>EPLY</w:t>
      </w:r>
      <w:r>
        <w:rPr>
          <w:rFonts w:ascii="Arial" w:eastAsia="Calibri" w:hAnsi="Arial" w:cs="Arial"/>
          <w:b/>
          <w:lang w:val="en-ZA"/>
        </w:rPr>
        <w:t>:</w:t>
      </w:r>
    </w:p>
    <w:p w14:paraId="40C18684" w14:textId="77777777" w:rsidR="002A2E13" w:rsidRDefault="002A2E13" w:rsidP="0070462B">
      <w:pPr>
        <w:spacing w:after="0" w:line="360" w:lineRule="auto"/>
        <w:jc w:val="both"/>
        <w:outlineLvl w:val="0"/>
        <w:rPr>
          <w:rFonts w:ascii="Arial" w:eastAsia="Calibri" w:hAnsi="Arial" w:cs="Arial"/>
          <w:lang w:val="en-ZA"/>
        </w:rPr>
      </w:pPr>
    </w:p>
    <w:p w14:paraId="5B523AE3" w14:textId="77777777" w:rsidR="002A2E13" w:rsidRDefault="002A2E13" w:rsidP="0070462B">
      <w:pPr>
        <w:pStyle w:val="ListParagraph"/>
        <w:numPr>
          <w:ilvl w:val="0"/>
          <w:numId w:val="9"/>
        </w:numPr>
        <w:tabs>
          <w:tab w:val="left" w:pos="567"/>
        </w:tabs>
        <w:spacing w:after="0" w:line="360" w:lineRule="auto"/>
        <w:ind w:left="567" w:hanging="567"/>
        <w:jc w:val="both"/>
        <w:outlineLvl w:val="0"/>
        <w:rPr>
          <w:rFonts w:ascii="Arial" w:eastAsia="Calibri" w:hAnsi="Arial" w:cs="Arial"/>
          <w:lang w:val="en-ZA"/>
        </w:rPr>
      </w:pPr>
      <w:r>
        <w:rPr>
          <w:rFonts w:ascii="Arial" w:eastAsia="Calibri" w:hAnsi="Arial" w:cs="Arial"/>
          <w:lang w:val="en-ZA"/>
        </w:rPr>
        <w:t>Rail crash victims:</w:t>
      </w:r>
    </w:p>
    <w:p w14:paraId="7CA9F47F" w14:textId="77777777" w:rsidR="002A2E13" w:rsidRDefault="002A2E13" w:rsidP="002A2E13">
      <w:pPr>
        <w:pStyle w:val="ListParagraph"/>
        <w:tabs>
          <w:tab w:val="left" w:pos="567"/>
        </w:tabs>
        <w:spacing w:after="0" w:line="240" w:lineRule="auto"/>
        <w:ind w:left="567"/>
        <w:jc w:val="both"/>
        <w:outlineLvl w:val="0"/>
        <w:rPr>
          <w:rFonts w:ascii="Arial" w:eastAsia="Calibri" w:hAnsi="Arial" w:cs="Arial"/>
          <w:lang w:val="en-ZA"/>
        </w:rPr>
      </w:pPr>
    </w:p>
    <w:tbl>
      <w:tblPr>
        <w:tblStyle w:val="TableGrid"/>
        <w:tblW w:w="0" w:type="auto"/>
        <w:tblInd w:w="567" w:type="dxa"/>
        <w:tblLook w:val="04A0" w:firstRow="1" w:lastRow="0" w:firstColumn="1" w:lastColumn="0" w:noHBand="0" w:noVBand="1"/>
      </w:tblPr>
      <w:tblGrid>
        <w:gridCol w:w="1398"/>
        <w:gridCol w:w="3237"/>
        <w:gridCol w:w="2073"/>
        <w:gridCol w:w="2075"/>
      </w:tblGrid>
      <w:tr w:rsidR="002A2E13" w:rsidRPr="004E5F5E" w14:paraId="1323F876" w14:textId="77777777" w:rsidTr="005E32BD">
        <w:tc>
          <w:tcPr>
            <w:tcW w:w="1413" w:type="dxa"/>
          </w:tcPr>
          <w:p w14:paraId="1F15AAC5" w14:textId="77777777" w:rsidR="002A2E13" w:rsidRPr="004E5F5E" w:rsidRDefault="002A2E13" w:rsidP="005E32BD">
            <w:pPr>
              <w:pStyle w:val="ListParagraph"/>
              <w:tabs>
                <w:tab w:val="left" w:pos="567"/>
              </w:tabs>
              <w:ind w:left="0"/>
              <w:jc w:val="center"/>
              <w:outlineLvl w:val="0"/>
              <w:rPr>
                <w:rFonts w:ascii="Arial" w:eastAsia="Calibri" w:hAnsi="Arial" w:cs="Arial"/>
                <w:b/>
                <w:lang w:val="en-ZA"/>
              </w:rPr>
            </w:pPr>
            <w:r w:rsidRPr="004E5F5E">
              <w:rPr>
                <w:rFonts w:ascii="Arial" w:eastAsia="Calibri" w:hAnsi="Arial" w:cs="Arial"/>
                <w:b/>
                <w:lang w:val="en-ZA"/>
              </w:rPr>
              <w:t>Date</w:t>
            </w:r>
          </w:p>
        </w:tc>
        <w:tc>
          <w:tcPr>
            <w:tcW w:w="3544" w:type="dxa"/>
          </w:tcPr>
          <w:p w14:paraId="1D44FA25" w14:textId="77777777" w:rsidR="002A2E13" w:rsidRPr="004E5F5E" w:rsidRDefault="002A2E13" w:rsidP="005E32BD">
            <w:pPr>
              <w:pStyle w:val="ListParagraph"/>
              <w:tabs>
                <w:tab w:val="left" w:pos="567"/>
              </w:tabs>
              <w:ind w:left="0"/>
              <w:jc w:val="center"/>
              <w:outlineLvl w:val="0"/>
              <w:rPr>
                <w:rFonts w:ascii="Arial" w:eastAsia="Calibri" w:hAnsi="Arial" w:cs="Arial"/>
                <w:b/>
                <w:lang w:val="en-ZA"/>
              </w:rPr>
            </w:pPr>
            <w:r w:rsidRPr="004E5F5E">
              <w:rPr>
                <w:rFonts w:ascii="Arial" w:eastAsia="Calibri" w:hAnsi="Arial" w:cs="Arial"/>
                <w:b/>
                <w:lang w:val="en-ZA"/>
              </w:rPr>
              <w:t>Description</w:t>
            </w:r>
          </w:p>
        </w:tc>
        <w:tc>
          <w:tcPr>
            <w:tcW w:w="2268" w:type="dxa"/>
          </w:tcPr>
          <w:p w14:paraId="7A3D2837" w14:textId="77777777" w:rsidR="002A2E13" w:rsidRPr="004E5F5E" w:rsidRDefault="002A2E13" w:rsidP="005E32BD">
            <w:pPr>
              <w:pStyle w:val="ListParagraph"/>
              <w:tabs>
                <w:tab w:val="left" w:pos="567"/>
              </w:tabs>
              <w:ind w:left="0"/>
              <w:jc w:val="center"/>
              <w:outlineLvl w:val="0"/>
              <w:rPr>
                <w:rFonts w:ascii="Arial" w:eastAsia="Calibri" w:hAnsi="Arial" w:cs="Arial"/>
                <w:b/>
                <w:lang w:val="en-ZA"/>
              </w:rPr>
            </w:pPr>
            <w:r w:rsidRPr="004E5F5E">
              <w:rPr>
                <w:rFonts w:ascii="Arial" w:eastAsia="Calibri" w:hAnsi="Arial" w:cs="Arial"/>
                <w:b/>
                <w:lang w:val="en-ZA"/>
              </w:rPr>
              <w:t>Injuries</w:t>
            </w:r>
          </w:p>
        </w:tc>
        <w:tc>
          <w:tcPr>
            <w:tcW w:w="2240" w:type="dxa"/>
          </w:tcPr>
          <w:p w14:paraId="173CD0D3" w14:textId="77777777" w:rsidR="002A2E13" w:rsidRPr="004E5F5E" w:rsidRDefault="002A2E13" w:rsidP="005E32BD">
            <w:pPr>
              <w:pStyle w:val="ListParagraph"/>
              <w:tabs>
                <w:tab w:val="left" w:pos="567"/>
              </w:tabs>
              <w:ind w:left="0"/>
              <w:jc w:val="center"/>
              <w:outlineLvl w:val="0"/>
              <w:rPr>
                <w:rFonts w:ascii="Arial" w:eastAsia="Calibri" w:hAnsi="Arial" w:cs="Arial"/>
                <w:b/>
                <w:lang w:val="en-ZA"/>
              </w:rPr>
            </w:pPr>
            <w:r w:rsidRPr="004E5F5E">
              <w:rPr>
                <w:rFonts w:ascii="Arial" w:eastAsia="Calibri" w:hAnsi="Arial" w:cs="Arial"/>
                <w:b/>
                <w:lang w:val="en-ZA"/>
              </w:rPr>
              <w:t>Fatalities</w:t>
            </w:r>
          </w:p>
        </w:tc>
      </w:tr>
      <w:tr w:rsidR="002A2E13" w:rsidRPr="004E5F5E" w14:paraId="1489B934" w14:textId="77777777" w:rsidTr="005E32BD">
        <w:tc>
          <w:tcPr>
            <w:tcW w:w="9465" w:type="dxa"/>
            <w:gridSpan w:val="4"/>
          </w:tcPr>
          <w:p w14:paraId="65FF771E" w14:textId="77777777" w:rsidR="002A2E13" w:rsidRPr="004E5F5E" w:rsidRDefault="002A2E13" w:rsidP="005E32BD">
            <w:pPr>
              <w:pStyle w:val="ListParagraph"/>
              <w:tabs>
                <w:tab w:val="left" w:pos="567"/>
              </w:tabs>
              <w:ind w:left="0"/>
              <w:jc w:val="center"/>
              <w:outlineLvl w:val="0"/>
              <w:rPr>
                <w:rFonts w:ascii="Arial" w:eastAsia="Calibri" w:hAnsi="Arial" w:cs="Arial"/>
                <w:b/>
                <w:lang w:val="en-ZA"/>
              </w:rPr>
            </w:pPr>
            <w:r w:rsidRPr="004E5F5E">
              <w:rPr>
                <w:rFonts w:ascii="Arial" w:eastAsia="Calibri" w:hAnsi="Arial" w:cs="Arial"/>
                <w:b/>
                <w:lang w:val="en-ZA"/>
              </w:rPr>
              <w:t>2016/2017</w:t>
            </w:r>
          </w:p>
        </w:tc>
      </w:tr>
      <w:tr w:rsidR="002A2E13" w14:paraId="3BDBAC7F" w14:textId="77777777" w:rsidTr="005E32BD">
        <w:tc>
          <w:tcPr>
            <w:tcW w:w="1413" w:type="dxa"/>
          </w:tcPr>
          <w:p w14:paraId="0292CAAC" w14:textId="77777777" w:rsidR="002A2E13" w:rsidRDefault="002A2E13" w:rsidP="005E32BD">
            <w:pPr>
              <w:pStyle w:val="ListParagraph"/>
              <w:tabs>
                <w:tab w:val="left" w:pos="567"/>
              </w:tabs>
              <w:ind w:left="0"/>
              <w:jc w:val="both"/>
              <w:outlineLvl w:val="0"/>
              <w:rPr>
                <w:rFonts w:ascii="Arial" w:eastAsia="Calibri" w:hAnsi="Arial" w:cs="Arial"/>
                <w:lang w:val="en-ZA"/>
              </w:rPr>
            </w:pPr>
            <w:r>
              <w:rPr>
                <w:rFonts w:ascii="Arial" w:eastAsia="Calibri" w:hAnsi="Arial" w:cs="Arial"/>
                <w:lang w:val="en-ZA"/>
              </w:rPr>
              <w:t>2016/06/23</w:t>
            </w:r>
          </w:p>
        </w:tc>
        <w:tc>
          <w:tcPr>
            <w:tcW w:w="3544" w:type="dxa"/>
          </w:tcPr>
          <w:p w14:paraId="5475E699" w14:textId="77777777" w:rsidR="002A2E13" w:rsidRDefault="002A2E13" w:rsidP="005E32BD">
            <w:pPr>
              <w:pStyle w:val="ListParagraph"/>
              <w:tabs>
                <w:tab w:val="left" w:pos="567"/>
              </w:tabs>
              <w:ind w:left="0"/>
              <w:jc w:val="both"/>
              <w:outlineLvl w:val="0"/>
              <w:rPr>
                <w:rFonts w:ascii="Arial" w:eastAsia="Calibri" w:hAnsi="Arial" w:cs="Arial"/>
                <w:lang w:val="en-ZA"/>
              </w:rPr>
            </w:pPr>
            <w:r>
              <w:rPr>
                <w:rFonts w:ascii="Arial" w:eastAsia="Calibri" w:hAnsi="Arial" w:cs="Arial"/>
                <w:lang w:val="en-ZA"/>
              </w:rPr>
              <w:t>Merebank Head On Collision</w:t>
            </w:r>
          </w:p>
        </w:tc>
        <w:tc>
          <w:tcPr>
            <w:tcW w:w="2268" w:type="dxa"/>
          </w:tcPr>
          <w:p w14:paraId="4A1C6BAD" w14:textId="77777777" w:rsidR="002A2E13"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lang w:val="en-ZA"/>
              </w:rPr>
              <w:t>165</w:t>
            </w:r>
          </w:p>
        </w:tc>
        <w:tc>
          <w:tcPr>
            <w:tcW w:w="2240" w:type="dxa"/>
          </w:tcPr>
          <w:p w14:paraId="3F5BB280" w14:textId="77777777" w:rsidR="002A2E13"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lang w:val="en-ZA"/>
              </w:rPr>
              <w:t>0</w:t>
            </w:r>
          </w:p>
        </w:tc>
      </w:tr>
      <w:tr w:rsidR="002A2E13" w14:paraId="4BF7FABC" w14:textId="77777777" w:rsidTr="005E32BD">
        <w:tc>
          <w:tcPr>
            <w:tcW w:w="1413" w:type="dxa"/>
          </w:tcPr>
          <w:p w14:paraId="75754F5D" w14:textId="77777777" w:rsidR="002A2E13" w:rsidRDefault="002A2E13" w:rsidP="005E32BD">
            <w:pPr>
              <w:pStyle w:val="ListParagraph"/>
              <w:tabs>
                <w:tab w:val="left" w:pos="567"/>
              </w:tabs>
              <w:ind w:left="0"/>
              <w:jc w:val="both"/>
              <w:outlineLvl w:val="0"/>
              <w:rPr>
                <w:rFonts w:ascii="Arial" w:eastAsia="Calibri" w:hAnsi="Arial" w:cs="Arial"/>
                <w:lang w:val="en-ZA"/>
              </w:rPr>
            </w:pPr>
            <w:r>
              <w:rPr>
                <w:rFonts w:ascii="Arial" w:eastAsia="Calibri" w:hAnsi="Arial" w:cs="Arial"/>
                <w:lang w:val="en-ZA"/>
              </w:rPr>
              <w:t>2016/10/29</w:t>
            </w:r>
          </w:p>
        </w:tc>
        <w:tc>
          <w:tcPr>
            <w:tcW w:w="3544" w:type="dxa"/>
          </w:tcPr>
          <w:p w14:paraId="30728AB6" w14:textId="77777777" w:rsidR="002A2E13" w:rsidRDefault="002A2E13" w:rsidP="005E32BD">
            <w:pPr>
              <w:pStyle w:val="ListParagraph"/>
              <w:tabs>
                <w:tab w:val="left" w:pos="567"/>
              </w:tabs>
              <w:ind w:left="0"/>
              <w:jc w:val="both"/>
              <w:outlineLvl w:val="0"/>
              <w:rPr>
                <w:rFonts w:ascii="Arial" w:eastAsia="Calibri" w:hAnsi="Arial" w:cs="Arial"/>
                <w:lang w:val="en-ZA"/>
              </w:rPr>
            </w:pPr>
            <w:r>
              <w:rPr>
                <w:rFonts w:ascii="Arial" w:eastAsia="Calibri" w:hAnsi="Arial" w:cs="Arial"/>
                <w:lang w:val="en-ZA"/>
              </w:rPr>
              <w:t>Kaalfontein Head On Collision</w:t>
            </w:r>
          </w:p>
        </w:tc>
        <w:tc>
          <w:tcPr>
            <w:tcW w:w="2268" w:type="dxa"/>
          </w:tcPr>
          <w:p w14:paraId="35403F8F" w14:textId="77777777" w:rsidR="002A2E13"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lang w:val="en-ZA"/>
              </w:rPr>
              <w:t>242</w:t>
            </w:r>
          </w:p>
        </w:tc>
        <w:tc>
          <w:tcPr>
            <w:tcW w:w="2240" w:type="dxa"/>
          </w:tcPr>
          <w:p w14:paraId="7CD329D0" w14:textId="77777777" w:rsidR="002A2E13"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lang w:val="en-ZA"/>
              </w:rPr>
              <w:t>1</w:t>
            </w:r>
          </w:p>
        </w:tc>
      </w:tr>
      <w:tr w:rsidR="002A2E13" w14:paraId="68BB6B55" w14:textId="77777777" w:rsidTr="005E32BD">
        <w:tc>
          <w:tcPr>
            <w:tcW w:w="1413" w:type="dxa"/>
          </w:tcPr>
          <w:p w14:paraId="035AE6FA" w14:textId="77777777" w:rsidR="002A2E13" w:rsidRDefault="002A2E13" w:rsidP="005E32BD">
            <w:pPr>
              <w:pStyle w:val="ListParagraph"/>
              <w:tabs>
                <w:tab w:val="left" w:pos="567"/>
              </w:tabs>
              <w:ind w:left="0"/>
              <w:jc w:val="both"/>
              <w:outlineLvl w:val="0"/>
              <w:rPr>
                <w:rFonts w:ascii="Arial" w:eastAsia="Calibri" w:hAnsi="Arial" w:cs="Arial"/>
                <w:lang w:val="en-ZA"/>
              </w:rPr>
            </w:pPr>
            <w:r>
              <w:rPr>
                <w:rFonts w:ascii="Arial" w:eastAsia="Calibri" w:hAnsi="Arial" w:cs="Arial"/>
                <w:lang w:val="en-ZA"/>
              </w:rPr>
              <w:t>2017/02/20</w:t>
            </w:r>
          </w:p>
        </w:tc>
        <w:tc>
          <w:tcPr>
            <w:tcW w:w="3544" w:type="dxa"/>
          </w:tcPr>
          <w:p w14:paraId="515BAEC8" w14:textId="77777777" w:rsidR="002A2E13" w:rsidRDefault="002A2E13" w:rsidP="005E32BD">
            <w:pPr>
              <w:pStyle w:val="ListParagraph"/>
              <w:tabs>
                <w:tab w:val="left" w:pos="567"/>
              </w:tabs>
              <w:ind w:left="0"/>
              <w:jc w:val="both"/>
              <w:outlineLvl w:val="0"/>
              <w:rPr>
                <w:rFonts w:ascii="Arial" w:eastAsia="Calibri" w:hAnsi="Arial" w:cs="Arial"/>
                <w:lang w:val="en-ZA"/>
              </w:rPr>
            </w:pPr>
            <w:r>
              <w:rPr>
                <w:rFonts w:ascii="Arial" w:eastAsia="Calibri" w:hAnsi="Arial" w:cs="Arial"/>
                <w:lang w:val="en-ZA"/>
              </w:rPr>
              <w:t>Lynross Head On Collision</w:t>
            </w:r>
          </w:p>
        </w:tc>
        <w:tc>
          <w:tcPr>
            <w:tcW w:w="2268" w:type="dxa"/>
          </w:tcPr>
          <w:p w14:paraId="454CFDB5" w14:textId="77777777" w:rsidR="002A2E13"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lang w:val="en-ZA"/>
              </w:rPr>
              <w:t>214</w:t>
            </w:r>
          </w:p>
        </w:tc>
        <w:tc>
          <w:tcPr>
            <w:tcW w:w="2240" w:type="dxa"/>
          </w:tcPr>
          <w:p w14:paraId="35ADD46F" w14:textId="77777777" w:rsidR="002A2E13"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lang w:val="en-ZA"/>
              </w:rPr>
              <w:t>0</w:t>
            </w:r>
          </w:p>
        </w:tc>
      </w:tr>
      <w:tr w:rsidR="002A2E13" w14:paraId="1AD635CA" w14:textId="77777777" w:rsidTr="005E32BD">
        <w:tc>
          <w:tcPr>
            <w:tcW w:w="1413" w:type="dxa"/>
          </w:tcPr>
          <w:p w14:paraId="791180E1" w14:textId="77777777" w:rsidR="002A2E13" w:rsidRPr="004E5F5E" w:rsidRDefault="002A2E13" w:rsidP="005E32BD">
            <w:pPr>
              <w:pStyle w:val="ListParagraph"/>
              <w:tabs>
                <w:tab w:val="left" w:pos="567"/>
              </w:tabs>
              <w:ind w:left="0"/>
              <w:jc w:val="both"/>
              <w:outlineLvl w:val="0"/>
              <w:rPr>
                <w:rFonts w:ascii="Arial" w:eastAsia="Calibri" w:hAnsi="Arial" w:cs="Arial"/>
                <w:b/>
                <w:lang w:val="en-ZA"/>
              </w:rPr>
            </w:pPr>
            <w:r>
              <w:rPr>
                <w:rFonts w:ascii="Arial" w:eastAsia="Calibri" w:hAnsi="Arial" w:cs="Arial"/>
                <w:b/>
                <w:lang w:val="en-ZA"/>
              </w:rPr>
              <w:t>Total</w:t>
            </w:r>
          </w:p>
        </w:tc>
        <w:tc>
          <w:tcPr>
            <w:tcW w:w="3544" w:type="dxa"/>
          </w:tcPr>
          <w:p w14:paraId="2F8A323F" w14:textId="77777777" w:rsidR="002A2E13" w:rsidRDefault="002A2E13" w:rsidP="005E32BD">
            <w:pPr>
              <w:pStyle w:val="ListParagraph"/>
              <w:tabs>
                <w:tab w:val="left" w:pos="567"/>
              </w:tabs>
              <w:ind w:left="0"/>
              <w:jc w:val="both"/>
              <w:outlineLvl w:val="0"/>
              <w:rPr>
                <w:rFonts w:ascii="Arial" w:eastAsia="Calibri" w:hAnsi="Arial" w:cs="Arial"/>
                <w:lang w:val="en-ZA"/>
              </w:rPr>
            </w:pPr>
          </w:p>
        </w:tc>
        <w:tc>
          <w:tcPr>
            <w:tcW w:w="2268" w:type="dxa"/>
          </w:tcPr>
          <w:p w14:paraId="63B67420" w14:textId="77777777" w:rsidR="002A2E13" w:rsidRPr="004E5F5E"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b/>
                <w:lang w:val="en-ZA"/>
              </w:rPr>
              <w:t>621</w:t>
            </w:r>
          </w:p>
        </w:tc>
        <w:tc>
          <w:tcPr>
            <w:tcW w:w="2240" w:type="dxa"/>
          </w:tcPr>
          <w:p w14:paraId="6991D646" w14:textId="77777777" w:rsidR="002A2E13" w:rsidRPr="004E5F5E" w:rsidRDefault="002A2E13" w:rsidP="005E32BD">
            <w:pPr>
              <w:pStyle w:val="ListParagraph"/>
              <w:tabs>
                <w:tab w:val="left" w:pos="567"/>
              </w:tabs>
              <w:ind w:left="0"/>
              <w:jc w:val="center"/>
              <w:outlineLvl w:val="0"/>
              <w:rPr>
                <w:rFonts w:ascii="Arial" w:eastAsia="Calibri" w:hAnsi="Arial" w:cs="Arial"/>
                <w:b/>
                <w:lang w:val="en-ZA"/>
              </w:rPr>
            </w:pPr>
            <w:r>
              <w:rPr>
                <w:rFonts w:ascii="Arial" w:eastAsia="Calibri" w:hAnsi="Arial" w:cs="Arial"/>
                <w:b/>
                <w:lang w:val="en-ZA"/>
              </w:rPr>
              <w:t>1</w:t>
            </w:r>
          </w:p>
        </w:tc>
      </w:tr>
      <w:tr w:rsidR="002A2E13" w:rsidRPr="004E5F5E" w14:paraId="2079B59A" w14:textId="77777777" w:rsidTr="005E32BD">
        <w:tc>
          <w:tcPr>
            <w:tcW w:w="9465" w:type="dxa"/>
            <w:gridSpan w:val="4"/>
          </w:tcPr>
          <w:p w14:paraId="26DA519D" w14:textId="77777777" w:rsidR="002A2E13" w:rsidRPr="004E5F5E" w:rsidRDefault="002A2E13" w:rsidP="005E32BD">
            <w:pPr>
              <w:pStyle w:val="ListParagraph"/>
              <w:tabs>
                <w:tab w:val="left" w:pos="567"/>
              </w:tabs>
              <w:ind w:left="0"/>
              <w:jc w:val="center"/>
              <w:outlineLvl w:val="0"/>
              <w:rPr>
                <w:rFonts w:ascii="Arial" w:eastAsia="Calibri" w:hAnsi="Arial" w:cs="Arial"/>
                <w:b/>
                <w:lang w:val="en-ZA"/>
              </w:rPr>
            </w:pPr>
            <w:r>
              <w:rPr>
                <w:rFonts w:ascii="Arial" w:eastAsia="Calibri" w:hAnsi="Arial" w:cs="Arial"/>
                <w:b/>
                <w:lang w:val="en-ZA"/>
              </w:rPr>
              <w:t>2017/2018</w:t>
            </w:r>
          </w:p>
        </w:tc>
      </w:tr>
      <w:tr w:rsidR="002A2E13" w14:paraId="7C69C995" w14:textId="77777777" w:rsidTr="005E32BD">
        <w:tc>
          <w:tcPr>
            <w:tcW w:w="1413" w:type="dxa"/>
          </w:tcPr>
          <w:p w14:paraId="783885F2" w14:textId="77777777" w:rsidR="002A2E13" w:rsidRDefault="002A2E13" w:rsidP="005E32BD">
            <w:pPr>
              <w:pStyle w:val="ListParagraph"/>
              <w:tabs>
                <w:tab w:val="left" w:pos="567"/>
              </w:tabs>
              <w:ind w:left="0"/>
              <w:jc w:val="both"/>
              <w:outlineLvl w:val="0"/>
              <w:rPr>
                <w:rFonts w:ascii="Arial" w:eastAsia="Calibri" w:hAnsi="Arial" w:cs="Arial"/>
                <w:lang w:val="en-ZA"/>
              </w:rPr>
            </w:pPr>
            <w:r>
              <w:rPr>
                <w:rFonts w:ascii="Arial" w:eastAsia="Calibri" w:hAnsi="Arial" w:cs="Arial"/>
                <w:lang w:val="en-ZA"/>
              </w:rPr>
              <w:t>2017/06/01</w:t>
            </w:r>
          </w:p>
        </w:tc>
        <w:tc>
          <w:tcPr>
            <w:tcW w:w="3544" w:type="dxa"/>
          </w:tcPr>
          <w:p w14:paraId="2B778D2D" w14:textId="77777777" w:rsidR="002A2E13" w:rsidRDefault="002A2E13" w:rsidP="005E32BD">
            <w:pPr>
              <w:pStyle w:val="ListParagraph"/>
              <w:tabs>
                <w:tab w:val="left" w:pos="567"/>
              </w:tabs>
              <w:ind w:left="0"/>
              <w:jc w:val="both"/>
              <w:outlineLvl w:val="0"/>
              <w:rPr>
                <w:rFonts w:ascii="Arial" w:eastAsia="Calibri" w:hAnsi="Arial" w:cs="Arial"/>
                <w:lang w:val="en-ZA"/>
              </w:rPr>
            </w:pPr>
            <w:r>
              <w:rPr>
                <w:rFonts w:ascii="Arial" w:eastAsia="Calibri" w:hAnsi="Arial" w:cs="Arial"/>
                <w:lang w:val="en-ZA"/>
              </w:rPr>
              <w:t>Elandsfontein Side Collision</w:t>
            </w:r>
          </w:p>
        </w:tc>
        <w:tc>
          <w:tcPr>
            <w:tcW w:w="2268" w:type="dxa"/>
          </w:tcPr>
          <w:p w14:paraId="246FBF5B" w14:textId="77777777" w:rsidR="002A2E13"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lang w:val="en-ZA"/>
              </w:rPr>
              <w:t>152</w:t>
            </w:r>
          </w:p>
        </w:tc>
        <w:tc>
          <w:tcPr>
            <w:tcW w:w="2240" w:type="dxa"/>
          </w:tcPr>
          <w:p w14:paraId="6E0CCEE3" w14:textId="77777777" w:rsidR="002A2E13"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lang w:val="en-ZA"/>
              </w:rPr>
              <w:t>1</w:t>
            </w:r>
          </w:p>
        </w:tc>
      </w:tr>
      <w:tr w:rsidR="002A2E13" w14:paraId="63BF364C" w14:textId="77777777" w:rsidTr="005E32BD">
        <w:tc>
          <w:tcPr>
            <w:tcW w:w="1413" w:type="dxa"/>
          </w:tcPr>
          <w:p w14:paraId="0167415C" w14:textId="77777777" w:rsidR="002A2E13" w:rsidRDefault="002A2E13" w:rsidP="005E32BD">
            <w:pPr>
              <w:pStyle w:val="ListParagraph"/>
              <w:tabs>
                <w:tab w:val="left" w:pos="567"/>
              </w:tabs>
              <w:ind w:left="0"/>
              <w:jc w:val="both"/>
              <w:outlineLvl w:val="0"/>
              <w:rPr>
                <w:rFonts w:ascii="Arial" w:eastAsia="Calibri" w:hAnsi="Arial" w:cs="Arial"/>
                <w:lang w:val="en-ZA"/>
              </w:rPr>
            </w:pPr>
            <w:r>
              <w:rPr>
                <w:rFonts w:ascii="Arial" w:eastAsia="Calibri" w:hAnsi="Arial" w:cs="Arial"/>
                <w:lang w:val="en-ZA"/>
              </w:rPr>
              <w:t>201/01/09</w:t>
            </w:r>
          </w:p>
        </w:tc>
        <w:tc>
          <w:tcPr>
            <w:tcW w:w="3544" w:type="dxa"/>
          </w:tcPr>
          <w:p w14:paraId="71430D02" w14:textId="77777777" w:rsidR="002A2E13" w:rsidRDefault="002A2E13" w:rsidP="005E32BD">
            <w:pPr>
              <w:pStyle w:val="ListParagraph"/>
              <w:tabs>
                <w:tab w:val="left" w:pos="567"/>
              </w:tabs>
              <w:ind w:left="0"/>
              <w:jc w:val="both"/>
              <w:outlineLvl w:val="0"/>
              <w:rPr>
                <w:rFonts w:ascii="Arial" w:eastAsia="Calibri" w:hAnsi="Arial" w:cs="Arial"/>
                <w:lang w:val="en-ZA"/>
              </w:rPr>
            </w:pPr>
            <w:r>
              <w:rPr>
                <w:rFonts w:ascii="Arial" w:eastAsia="Calibri" w:hAnsi="Arial" w:cs="Arial"/>
                <w:lang w:val="en-ZA"/>
              </w:rPr>
              <w:t>Geldenhuys Rear End Collision</w:t>
            </w:r>
          </w:p>
        </w:tc>
        <w:tc>
          <w:tcPr>
            <w:tcW w:w="2268" w:type="dxa"/>
          </w:tcPr>
          <w:p w14:paraId="3456F479" w14:textId="77777777" w:rsidR="002A2E13"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lang w:val="en-ZA"/>
              </w:rPr>
              <w:t>226</w:t>
            </w:r>
          </w:p>
        </w:tc>
        <w:tc>
          <w:tcPr>
            <w:tcW w:w="2240" w:type="dxa"/>
          </w:tcPr>
          <w:p w14:paraId="06ED96CF" w14:textId="77777777" w:rsidR="002A2E13"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lang w:val="en-ZA"/>
              </w:rPr>
              <w:t>0</w:t>
            </w:r>
          </w:p>
        </w:tc>
      </w:tr>
      <w:tr w:rsidR="002A2E13" w14:paraId="4E1F50A2" w14:textId="77777777" w:rsidTr="005E32BD">
        <w:tc>
          <w:tcPr>
            <w:tcW w:w="1413" w:type="dxa"/>
          </w:tcPr>
          <w:p w14:paraId="3992FD2B" w14:textId="77777777" w:rsidR="002A2E13" w:rsidRPr="004D3742" w:rsidRDefault="002A2E13" w:rsidP="005E32BD">
            <w:pPr>
              <w:pStyle w:val="ListParagraph"/>
              <w:tabs>
                <w:tab w:val="left" w:pos="567"/>
              </w:tabs>
              <w:ind w:left="0"/>
              <w:jc w:val="both"/>
              <w:outlineLvl w:val="0"/>
              <w:rPr>
                <w:rFonts w:ascii="Arial" w:eastAsia="Calibri" w:hAnsi="Arial" w:cs="Arial"/>
                <w:b/>
                <w:lang w:val="en-ZA"/>
              </w:rPr>
            </w:pPr>
            <w:r>
              <w:rPr>
                <w:rFonts w:ascii="Arial" w:eastAsia="Calibri" w:hAnsi="Arial" w:cs="Arial"/>
                <w:b/>
                <w:lang w:val="en-ZA"/>
              </w:rPr>
              <w:t>Total</w:t>
            </w:r>
          </w:p>
        </w:tc>
        <w:tc>
          <w:tcPr>
            <w:tcW w:w="3544" w:type="dxa"/>
          </w:tcPr>
          <w:p w14:paraId="57072240" w14:textId="77777777" w:rsidR="002A2E13" w:rsidRDefault="002A2E13" w:rsidP="005E32BD">
            <w:pPr>
              <w:pStyle w:val="ListParagraph"/>
              <w:tabs>
                <w:tab w:val="left" w:pos="567"/>
              </w:tabs>
              <w:ind w:left="0"/>
              <w:jc w:val="both"/>
              <w:outlineLvl w:val="0"/>
              <w:rPr>
                <w:rFonts w:ascii="Arial" w:eastAsia="Calibri" w:hAnsi="Arial" w:cs="Arial"/>
                <w:lang w:val="en-ZA"/>
              </w:rPr>
            </w:pPr>
          </w:p>
        </w:tc>
        <w:tc>
          <w:tcPr>
            <w:tcW w:w="2268" w:type="dxa"/>
          </w:tcPr>
          <w:p w14:paraId="47B9E3F7" w14:textId="77777777" w:rsidR="002A2E13" w:rsidRPr="004D3742" w:rsidRDefault="002A2E13" w:rsidP="005E32BD">
            <w:pPr>
              <w:pStyle w:val="ListParagraph"/>
              <w:tabs>
                <w:tab w:val="left" w:pos="567"/>
              </w:tabs>
              <w:ind w:left="0"/>
              <w:jc w:val="center"/>
              <w:outlineLvl w:val="0"/>
              <w:rPr>
                <w:rFonts w:ascii="Arial" w:eastAsia="Calibri" w:hAnsi="Arial" w:cs="Arial"/>
                <w:b/>
                <w:lang w:val="en-ZA"/>
              </w:rPr>
            </w:pPr>
            <w:r>
              <w:rPr>
                <w:rFonts w:ascii="Arial" w:eastAsia="Calibri" w:hAnsi="Arial" w:cs="Arial"/>
                <w:b/>
                <w:lang w:val="en-ZA"/>
              </w:rPr>
              <w:t>378</w:t>
            </w:r>
          </w:p>
        </w:tc>
        <w:tc>
          <w:tcPr>
            <w:tcW w:w="2240" w:type="dxa"/>
          </w:tcPr>
          <w:p w14:paraId="416B5817" w14:textId="77777777" w:rsidR="002A2E13" w:rsidRPr="004D3742" w:rsidRDefault="002A2E13" w:rsidP="005E32BD">
            <w:pPr>
              <w:pStyle w:val="ListParagraph"/>
              <w:tabs>
                <w:tab w:val="left" w:pos="567"/>
              </w:tabs>
              <w:ind w:left="0"/>
              <w:jc w:val="center"/>
              <w:outlineLvl w:val="0"/>
              <w:rPr>
                <w:rFonts w:ascii="Arial" w:eastAsia="Calibri" w:hAnsi="Arial" w:cs="Arial"/>
                <w:b/>
                <w:lang w:val="en-ZA"/>
              </w:rPr>
            </w:pPr>
            <w:r>
              <w:rPr>
                <w:rFonts w:ascii="Arial" w:eastAsia="Calibri" w:hAnsi="Arial" w:cs="Arial"/>
                <w:b/>
                <w:lang w:val="en-ZA"/>
              </w:rPr>
              <w:t>1</w:t>
            </w:r>
          </w:p>
        </w:tc>
      </w:tr>
      <w:tr w:rsidR="002A2E13" w14:paraId="1EB0ABFC" w14:textId="77777777" w:rsidTr="005E32BD">
        <w:tc>
          <w:tcPr>
            <w:tcW w:w="9465" w:type="dxa"/>
            <w:gridSpan w:val="4"/>
          </w:tcPr>
          <w:p w14:paraId="22652E5F" w14:textId="77777777" w:rsidR="002A2E13" w:rsidRPr="004D3742" w:rsidRDefault="002A2E13" w:rsidP="005E32BD">
            <w:pPr>
              <w:pStyle w:val="ListParagraph"/>
              <w:tabs>
                <w:tab w:val="left" w:pos="567"/>
              </w:tabs>
              <w:ind w:left="0"/>
              <w:jc w:val="center"/>
              <w:outlineLvl w:val="0"/>
              <w:rPr>
                <w:rFonts w:ascii="Arial" w:eastAsia="Calibri" w:hAnsi="Arial" w:cs="Arial"/>
                <w:b/>
                <w:lang w:val="en-ZA"/>
              </w:rPr>
            </w:pPr>
            <w:r>
              <w:rPr>
                <w:rFonts w:ascii="Arial" w:eastAsia="Calibri" w:hAnsi="Arial" w:cs="Arial"/>
                <w:b/>
                <w:lang w:val="en-ZA"/>
              </w:rPr>
              <w:t>2018/2019</w:t>
            </w:r>
          </w:p>
        </w:tc>
      </w:tr>
      <w:tr w:rsidR="002A2E13" w14:paraId="1DFCBEA3" w14:textId="77777777" w:rsidTr="005E32BD">
        <w:tc>
          <w:tcPr>
            <w:tcW w:w="1413" w:type="dxa"/>
          </w:tcPr>
          <w:p w14:paraId="7AC2A23C" w14:textId="77777777" w:rsidR="002A2E13" w:rsidRDefault="002A2E13" w:rsidP="005E32BD">
            <w:pPr>
              <w:pStyle w:val="ListParagraph"/>
              <w:tabs>
                <w:tab w:val="left" w:pos="567"/>
              </w:tabs>
              <w:ind w:left="0"/>
              <w:jc w:val="both"/>
              <w:outlineLvl w:val="0"/>
              <w:rPr>
                <w:rFonts w:ascii="Arial" w:eastAsia="Calibri" w:hAnsi="Arial" w:cs="Arial"/>
                <w:lang w:val="en-ZA"/>
              </w:rPr>
            </w:pPr>
            <w:r>
              <w:rPr>
                <w:rFonts w:ascii="Arial" w:eastAsia="Calibri" w:hAnsi="Arial" w:cs="Arial"/>
                <w:lang w:val="en-ZA"/>
              </w:rPr>
              <w:t>2018/09/04</w:t>
            </w:r>
          </w:p>
        </w:tc>
        <w:tc>
          <w:tcPr>
            <w:tcW w:w="3544" w:type="dxa"/>
          </w:tcPr>
          <w:p w14:paraId="17D6C0C6" w14:textId="77777777" w:rsidR="002A2E13" w:rsidRDefault="002A2E13" w:rsidP="005E32BD">
            <w:pPr>
              <w:pStyle w:val="ListParagraph"/>
              <w:tabs>
                <w:tab w:val="left" w:pos="567"/>
              </w:tabs>
              <w:ind w:left="0"/>
              <w:jc w:val="both"/>
              <w:outlineLvl w:val="0"/>
              <w:rPr>
                <w:rFonts w:ascii="Arial" w:eastAsia="Calibri" w:hAnsi="Arial" w:cs="Arial"/>
                <w:lang w:val="en-ZA"/>
              </w:rPr>
            </w:pPr>
            <w:r>
              <w:rPr>
                <w:rFonts w:ascii="Arial" w:eastAsia="Calibri" w:hAnsi="Arial" w:cs="Arial"/>
                <w:lang w:val="en-ZA"/>
              </w:rPr>
              <w:t>Booysens Head On Collision</w:t>
            </w:r>
          </w:p>
        </w:tc>
        <w:tc>
          <w:tcPr>
            <w:tcW w:w="2268" w:type="dxa"/>
          </w:tcPr>
          <w:p w14:paraId="24AE31D7" w14:textId="77777777" w:rsidR="002A2E13"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lang w:val="en-ZA"/>
              </w:rPr>
              <w:t>112</w:t>
            </w:r>
          </w:p>
        </w:tc>
        <w:tc>
          <w:tcPr>
            <w:tcW w:w="2240" w:type="dxa"/>
          </w:tcPr>
          <w:p w14:paraId="49BACAA3" w14:textId="77777777" w:rsidR="002A2E13"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lang w:val="en-ZA"/>
              </w:rPr>
              <w:t>0</w:t>
            </w:r>
          </w:p>
        </w:tc>
      </w:tr>
      <w:tr w:rsidR="002A2E13" w14:paraId="14FA0406" w14:textId="77777777" w:rsidTr="005E32BD">
        <w:tc>
          <w:tcPr>
            <w:tcW w:w="1413" w:type="dxa"/>
          </w:tcPr>
          <w:p w14:paraId="042A2A84" w14:textId="77777777" w:rsidR="002A2E13" w:rsidRDefault="002A2E13" w:rsidP="005E32BD">
            <w:pPr>
              <w:pStyle w:val="ListParagraph"/>
              <w:tabs>
                <w:tab w:val="left" w:pos="567"/>
              </w:tabs>
              <w:ind w:left="0"/>
              <w:jc w:val="both"/>
              <w:outlineLvl w:val="0"/>
              <w:rPr>
                <w:rFonts w:ascii="Arial" w:eastAsia="Calibri" w:hAnsi="Arial" w:cs="Arial"/>
                <w:lang w:val="en-ZA"/>
              </w:rPr>
            </w:pPr>
            <w:r>
              <w:rPr>
                <w:rFonts w:ascii="Arial" w:eastAsia="Calibri" w:hAnsi="Arial" w:cs="Arial"/>
                <w:lang w:val="en-ZA"/>
              </w:rPr>
              <w:t>2018/10/04</w:t>
            </w:r>
          </w:p>
        </w:tc>
        <w:tc>
          <w:tcPr>
            <w:tcW w:w="3544" w:type="dxa"/>
          </w:tcPr>
          <w:p w14:paraId="60ADBF60" w14:textId="77777777" w:rsidR="002A2E13" w:rsidRDefault="002A2E13" w:rsidP="005E32BD">
            <w:pPr>
              <w:pStyle w:val="ListParagraph"/>
              <w:tabs>
                <w:tab w:val="left" w:pos="567"/>
              </w:tabs>
              <w:ind w:left="0"/>
              <w:jc w:val="both"/>
              <w:outlineLvl w:val="0"/>
              <w:rPr>
                <w:rFonts w:ascii="Arial" w:eastAsia="Calibri" w:hAnsi="Arial" w:cs="Arial"/>
                <w:lang w:val="en-ZA"/>
              </w:rPr>
            </w:pPr>
            <w:r>
              <w:rPr>
                <w:rFonts w:ascii="Arial" w:eastAsia="Calibri" w:hAnsi="Arial" w:cs="Arial"/>
                <w:lang w:val="en-ZA"/>
              </w:rPr>
              <w:t>Van Riebeck Rear End Collision</w:t>
            </w:r>
          </w:p>
        </w:tc>
        <w:tc>
          <w:tcPr>
            <w:tcW w:w="2268" w:type="dxa"/>
          </w:tcPr>
          <w:p w14:paraId="0493B346" w14:textId="77777777" w:rsidR="002A2E13"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lang w:val="en-ZA"/>
              </w:rPr>
              <w:t>320</w:t>
            </w:r>
          </w:p>
        </w:tc>
        <w:tc>
          <w:tcPr>
            <w:tcW w:w="2240" w:type="dxa"/>
          </w:tcPr>
          <w:p w14:paraId="31513F66" w14:textId="77777777" w:rsidR="002A2E13"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lang w:val="en-ZA"/>
              </w:rPr>
              <w:t>0</w:t>
            </w:r>
          </w:p>
        </w:tc>
      </w:tr>
      <w:tr w:rsidR="002A2E13" w14:paraId="79D3ED37" w14:textId="77777777" w:rsidTr="005E32BD">
        <w:tc>
          <w:tcPr>
            <w:tcW w:w="1413" w:type="dxa"/>
          </w:tcPr>
          <w:p w14:paraId="56791718" w14:textId="77777777" w:rsidR="002A2E13" w:rsidRDefault="002A2E13" w:rsidP="005E32BD">
            <w:pPr>
              <w:pStyle w:val="ListParagraph"/>
              <w:tabs>
                <w:tab w:val="left" w:pos="567"/>
              </w:tabs>
              <w:ind w:left="0"/>
              <w:jc w:val="both"/>
              <w:outlineLvl w:val="0"/>
              <w:rPr>
                <w:rFonts w:ascii="Arial" w:eastAsia="Calibri" w:hAnsi="Arial" w:cs="Arial"/>
                <w:lang w:val="en-ZA"/>
              </w:rPr>
            </w:pPr>
            <w:r>
              <w:rPr>
                <w:rFonts w:ascii="Arial" w:eastAsia="Calibri" w:hAnsi="Arial" w:cs="Arial"/>
                <w:lang w:val="en-ZA"/>
              </w:rPr>
              <w:t>2019/01/08</w:t>
            </w:r>
          </w:p>
        </w:tc>
        <w:tc>
          <w:tcPr>
            <w:tcW w:w="3544" w:type="dxa"/>
          </w:tcPr>
          <w:p w14:paraId="7E77E768" w14:textId="77777777" w:rsidR="002A2E13" w:rsidRDefault="002A2E13" w:rsidP="005E32BD">
            <w:pPr>
              <w:pStyle w:val="ListParagraph"/>
              <w:tabs>
                <w:tab w:val="left" w:pos="567"/>
              </w:tabs>
              <w:ind w:left="0"/>
              <w:jc w:val="both"/>
              <w:outlineLvl w:val="0"/>
              <w:rPr>
                <w:rFonts w:ascii="Arial" w:eastAsia="Calibri" w:hAnsi="Arial" w:cs="Arial"/>
                <w:lang w:val="en-ZA"/>
              </w:rPr>
            </w:pPr>
            <w:r>
              <w:rPr>
                <w:rFonts w:ascii="Arial" w:eastAsia="Calibri" w:hAnsi="Arial" w:cs="Arial"/>
                <w:lang w:val="en-ZA"/>
              </w:rPr>
              <w:t>Mountain View Rear End Collision</w:t>
            </w:r>
          </w:p>
        </w:tc>
        <w:tc>
          <w:tcPr>
            <w:tcW w:w="2268" w:type="dxa"/>
          </w:tcPr>
          <w:p w14:paraId="58F56C01" w14:textId="77777777" w:rsidR="002A2E13"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lang w:val="en-ZA"/>
              </w:rPr>
              <w:t>817</w:t>
            </w:r>
          </w:p>
        </w:tc>
        <w:tc>
          <w:tcPr>
            <w:tcW w:w="2240" w:type="dxa"/>
          </w:tcPr>
          <w:p w14:paraId="5A3D3981" w14:textId="77777777" w:rsidR="002A2E13" w:rsidRDefault="002A2E13" w:rsidP="005E32BD">
            <w:pPr>
              <w:pStyle w:val="ListParagraph"/>
              <w:tabs>
                <w:tab w:val="left" w:pos="567"/>
              </w:tabs>
              <w:ind w:left="0"/>
              <w:jc w:val="center"/>
              <w:outlineLvl w:val="0"/>
              <w:rPr>
                <w:rFonts w:ascii="Arial" w:eastAsia="Calibri" w:hAnsi="Arial" w:cs="Arial"/>
                <w:lang w:val="en-ZA"/>
              </w:rPr>
            </w:pPr>
            <w:r>
              <w:rPr>
                <w:rFonts w:ascii="Arial" w:eastAsia="Calibri" w:hAnsi="Arial" w:cs="Arial"/>
                <w:lang w:val="en-ZA"/>
              </w:rPr>
              <w:t>3</w:t>
            </w:r>
          </w:p>
        </w:tc>
      </w:tr>
      <w:tr w:rsidR="002A2E13" w14:paraId="281D73F8" w14:textId="77777777" w:rsidTr="005E32BD">
        <w:tc>
          <w:tcPr>
            <w:tcW w:w="1413" w:type="dxa"/>
          </w:tcPr>
          <w:p w14:paraId="524051A3" w14:textId="77777777" w:rsidR="002A2E13" w:rsidRPr="004D3742" w:rsidRDefault="002A2E13" w:rsidP="005E32BD">
            <w:pPr>
              <w:pStyle w:val="ListParagraph"/>
              <w:tabs>
                <w:tab w:val="left" w:pos="567"/>
              </w:tabs>
              <w:ind w:left="0"/>
              <w:jc w:val="both"/>
              <w:outlineLvl w:val="0"/>
              <w:rPr>
                <w:rFonts w:ascii="Arial" w:eastAsia="Calibri" w:hAnsi="Arial" w:cs="Arial"/>
                <w:b/>
                <w:lang w:val="en-ZA"/>
              </w:rPr>
            </w:pPr>
            <w:r>
              <w:rPr>
                <w:rFonts w:ascii="Arial" w:eastAsia="Calibri" w:hAnsi="Arial" w:cs="Arial"/>
                <w:b/>
                <w:lang w:val="en-ZA"/>
              </w:rPr>
              <w:t>Total</w:t>
            </w:r>
          </w:p>
        </w:tc>
        <w:tc>
          <w:tcPr>
            <w:tcW w:w="3544" w:type="dxa"/>
          </w:tcPr>
          <w:p w14:paraId="0888C165" w14:textId="77777777" w:rsidR="002A2E13" w:rsidRDefault="002A2E13" w:rsidP="005E32BD">
            <w:pPr>
              <w:pStyle w:val="ListParagraph"/>
              <w:tabs>
                <w:tab w:val="left" w:pos="567"/>
              </w:tabs>
              <w:ind w:left="0"/>
              <w:jc w:val="both"/>
              <w:outlineLvl w:val="0"/>
              <w:rPr>
                <w:rFonts w:ascii="Arial" w:eastAsia="Calibri" w:hAnsi="Arial" w:cs="Arial"/>
                <w:lang w:val="en-ZA"/>
              </w:rPr>
            </w:pPr>
          </w:p>
        </w:tc>
        <w:tc>
          <w:tcPr>
            <w:tcW w:w="2268" w:type="dxa"/>
          </w:tcPr>
          <w:p w14:paraId="016FF7BE" w14:textId="77777777" w:rsidR="002A2E13" w:rsidRPr="004D3742" w:rsidRDefault="002A2E13" w:rsidP="005E32BD">
            <w:pPr>
              <w:pStyle w:val="ListParagraph"/>
              <w:tabs>
                <w:tab w:val="left" w:pos="567"/>
              </w:tabs>
              <w:ind w:left="0"/>
              <w:jc w:val="center"/>
              <w:outlineLvl w:val="0"/>
              <w:rPr>
                <w:rFonts w:ascii="Arial" w:eastAsia="Calibri" w:hAnsi="Arial" w:cs="Arial"/>
                <w:b/>
                <w:lang w:val="en-ZA"/>
              </w:rPr>
            </w:pPr>
            <w:r>
              <w:rPr>
                <w:rFonts w:ascii="Arial" w:eastAsia="Calibri" w:hAnsi="Arial" w:cs="Arial"/>
                <w:b/>
                <w:lang w:val="en-ZA"/>
              </w:rPr>
              <w:t>1,249</w:t>
            </w:r>
          </w:p>
        </w:tc>
        <w:tc>
          <w:tcPr>
            <w:tcW w:w="2240" w:type="dxa"/>
          </w:tcPr>
          <w:p w14:paraId="3F7FE268" w14:textId="77777777" w:rsidR="002A2E13" w:rsidRPr="004D3742" w:rsidRDefault="002A2E13" w:rsidP="005E32BD">
            <w:pPr>
              <w:pStyle w:val="ListParagraph"/>
              <w:tabs>
                <w:tab w:val="left" w:pos="567"/>
              </w:tabs>
              <w:ind w:left="0"/>
              <w:jc w:val="center"/>
              <w:outlineLvl w:val="0"/>
              <w:rPr>
                <w:rFonts w:ascii="Arial" w:eastAsia="Calibri" w:hAnsi="Arial" w:cs="Arial"/>
                <w:b/>
                <w:lang w:val="en-ZA"/>
              </w:rPr>
            </w:pPr>
            <w:r>
              <w:rPr>
                <w:rFonts w:ascii="Arial" w:eastAsia="Calibri" w:hAnsi="Arial" w:cs="Arial"/>
                <w:b/>
                <w:lang w:val="en-ZA"/>
              </w:rPr>
              <w:t>4</w:t>
            </w:r>
          </w:p>
        </w:tc>
      </w:tr>
    </w:tbl>
    <w:p w14:paraId="0CF6BB47" w14:textId="77777777" w:rsidR="002A2E13" w:rsidRDefault="002A2E13" w:rsidP="002A2E13">
      <w:pPr>
        <w:pStyle w:val="ListParagraph"/>
        <w:tabs>
          <w:tab w:val="left" w:pos="567"/>
        </w:tabs>
        <w:spacing w:after="0" w:line="240" w:lineRule="auto"/>
        <w:ind w:left="567"/>
        <w:jc w:val="both"/>
        <w:outlineLvl w:val="0"/>
        <w:rPr>
          <w:rFonts w:ascii="Arial" w:eastAsia="Calibri" w:hAnsi="Arial" w:cs="Arial"/>
          <w:lang w:val="en-ZA"/>
        </w:rPr>
      </w:pPr>
    </w:p>
    <w:p w14:paraId="707B3F86" w14:textId="77777777" w:rsidR="002A2E13" w:rsidRDefault="002A2E13" w:rsidP="0070462B">
      <w:pPr>
        <w:pStyle w:val="ListParagraph"/>
        <w:numPr>
          <w:ilvl w:val="0"/>
          <w:numId w:val="9"/>
        </w:numPr>
        <w:tabs>
          <w:tab w:val="left" w:pos="567"/>
        </w:tabs>
        <w:spacing w:after="0" w:line="360" w:lineRule="auto"/>
        <w:ind w:left="567" w:hanging="567"/>
        <w:jc w:val="both"/>
        <w:outlineLvl w:val="0"/>
        <w:rPr>
          <w:rFonts w:ascii="Arial" w:eastAsia="Calibri" w:hAnsi="Arial" w:cs="Arial"/>
          <w:lang w:val="en-ZA"/>
        </w:rPr>
      </w:pPr>
      <w:r>
        <w:rPr>
          <w:rFonts w:ascii="Arial" w:eastAsia="Calibri" w:hAnsi="Arial" w:cs="Arial"/>
          <w:lang w:val="en-ZA"/>
        </w:rPr>
        <w:t>See table in (a).</w:t>
      </w:r>
    </w:p>
    <w:p w14:paraId="4340E261" w14:textId="77777777" w:rsidR="002A2E13" w:rsidRPr="004E5F5E" w:rsidRDefault="002A2E13" w:rsidP="0070462B">
      <w:pPr>
        <w:pStyle w:val="ListParagraph"/>
        <w:spacing w:line="360" w:lineRule="auto"/>
        <w:jc w:val="both"/>
        <w:rPr>
          <w:rFonts w:ascii="Arial" w:eastAsia="Calibri" w:hAnsi="Arial" w:cs="Arial"/>
          <w:lang w:val="en-ZA"/>
        </w:rPr>
      </w:pPr>
    </w:p>
    <w:p w14:paraId="2B396FE4" w14:textId="77777777" w:rsidR="002A2E13" w:rsidRDefault="002A2E13" w:rsidP="0070462B">
      <w:pPr>
        <w:pStyle w:val="ListParagraph"/>
        <w:numPr>
          <w:ilvl w:val="0"/>
          <w:numId w:val="10"/>
        </w:numPr>
        <w:tabs>
          <w:tab w:val="left" w:pos="567"/>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t>Compensation paid to crash victims and their families:</w:t>
      </w:r>
    </w:p>
    <w:p w14:paraId="558650B3" w14:textId="77777777" w:rsidR="002A2E13" w:rsidRDefault="002A2E13" w:rsidP="002A2E13">
      <w:pPr>
        <w:pStyle w:val="ListParagraph"/>
        <w:tabs>
          <w:tab w:val="left" w:pos="567"/>
        </w:tabs>
        <w:spacing w:after="0" w:line="240" w:lineRule="auto"/>
        <w:ind w:left="1134"/>
        <w:jc w:val="both"/>
        <w:outlineLvl w:val="0"/>
        <w:rPr>
          <w:rFonts w:ascii="Arial" w:eastAsia="Calibri" w:hAnsi="Arial" w:cs="Arial"/>
          <w:lang w:val="en-ZA"/>
        </w:rPr>
      </w:pPr>
    </w:p>
    <w:p w14:paraId="1CD2B8D3" w14:textId="77777777" w:rsidR="002A2E13" w:rsidRDefault="002A2E13" w:rsidP="002A2E13">
      <w:pPr>
        <w:pStyle w:val="ListParagraph"/>
        <w:tabs>
          <w:tab w:val="left" w:pos="567"/>
        </w:tabs>
        <w:spacing w:after="0" w:line="240" w:lineRule="auto"/>
        <w:ind w:left="0"/>
        <w:jc w:val="both"/>
        <w:outlineLvl w:val="0"/>
        <w:rPr>
          <w:rFonts w:ascii="Arial" w:eastAsia="Calibri" w:hAnsi="Arial" w:cs="Arial"/>
          <w:lang w:val="en-ZA"/>
        </w:rPr>
      </w:pPr>
      <w:r w:rsidRPr="004D3742">
        <w:rPr>
          <w:rFonts w:ascii="Arial" w:hAnsi="Arial" w:cs="Arial"/>
          <w:noProof/>
          <w:sz w:val="20"/>
          <w:lang w:val="en-ZA" w:eastAsia="en-ZA"/>
        </w:rPr>
        <w:lastRenderedPageBreak/>
        <w:drawing>
          <wp:inline distT="0" distB="0" distL="0" distR="0" wp14:anchorId="4EF269F9" wp14:editId="44D85A3C">
            <wp:extent cx="6262370" cy="314908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6715" cy="3151269"/>
                    </a:xfrm>
                    <a:prstGeom prst="rect">
                      <a:avLst/>
                    </a:prstGeom>
                    <a:noFill/>
                    <a:ln>
                      <a:noFill/>
                    </a:ln>
                  </pic:spPr>
                </pic:pic>
              </a:graphicData>
            </a:graphic>
          </wp:inline>
        </w:drawing>
      </w:r>
    </w:p>
    <w:p w14:paraId="5B09294D" w14:textId="77777777" w:rsidR="002A2E13" w:rsidRPr="004D3742" w:rsidRDefault="002A2E13" w:rsidP="0070462B">
      <w:pPr>
        <w:pStyle w:val="ListParagraph"/>
        <w:numPr>
          <w:ilvl w:val="0"/>
          <w:numId w:val="10"/>
        </w:numPr>
        <w:tabs>
          <w:tab w:val="left" w:pos="567"/>
        </w:tabs>
        <w:spacing w:after="0" w:line="360" w:lineRule="auto"/>
        <w:ind w:left="1134" w:hanging="567"/>
        <w:jc w:val="both"/>
        <w:outlineLvl w:val="0"/>
        <w:rPr>
          <w:rFonts w:ascii="Arial" w:eastAsia="Calibri" w:hAnsi="Arial" w:cs="Arial"/>
          <w:lang w:val="en-ZA"/>
        </w:rPr>
      </w:pPr>
      <w:r w:rsidRPr="004D3742">
        <w:rPr>
          <w:rFonts w:ascii="Arial" w:eastAsia="Times New Roman" w:hAnsi="Arial" w:cs="Arial"/>
          <w:lang w:val="en" w:eastAsia="en-ZA"/>
        </w:rPr>
        <w:t>The primary goal of the courts in enforcing commuters’ common law claims for damages caused, once liability of the rail agency has been established, is to compensate the person who has suffered harm. The courts function under this delictual action is to restore the claimants’ position, as far as is possible, to the position that they would have occupied had the w</w:t>
      </w:r>
      <w:r>
        <w:rPr>
          <w:rFonts w:ascii="Arial" w:eastAsia="Times New Roman" w:hAnsi="Arial" w:cs="Arial"/>
          <w:lang w:val="en" w:eastAsia="en-ZA"/>
        </w:rPr>
        <w:t>rongful act not been committed.</w:t>
      </w:r>
    </w:p>
    <w:p w14:paraId="09826716" w14:textId="77777777" w:rsidR="002A2E13" w:rsidRPr="004D3742" w:rsidRDefault="002A2E13" w:rsidP="0070462B">
      <w:pPr>
        <w:pStyle w:val="ListParagraph"/>
        <w:tabs>
          <w:tab w:val="left" w:pos="567"/>
        </w:tabs>
        <w:spacing w:after="0" w:line="360" w:lineRule="auto"/>
        <w:ind w:left="1134"/>
        <w:jc w:val="both"/>
        <w:outlineLvl w:val="0"/>
        <w:rPr>
          <w:rFonts w:ascii="Arial" w:eastAsia="Calibri" w:hAnsi="Arial" w:cs="Arial"/>
          <w:lang w:val="en-ZA"/>
        </w:rPr>
      </w:pPr>
    </w:p>
    <w:p w14:paraId="6AB970FC" w14:textId="77777777" w:rsidR="002A2E13" w:rsidRDefault="002A2E13" w:rsidP="0070462B">
      <w:pPr>
        <w:spacing w:line="360" w:lineRule="auto"/>
        <w:ind w:left="1134"/>
        <w:jc w:val="both"/>
        <w:rPr>
          <w:rFonts w:ascii="Arial" w:eastAsia="Times New Roman" w:hAnsi="Arial" w:cs="Arial"/>
          <w:lang w:val="en" w:eastAsia="en-ZA"/>
        </w:rPr>
      </w:pPr>
      <w:r w:rsidRPr="00216A1A">
        <w:rPr>
          <w:rFonts w:ascii="Arial" w:eastAsia="Times New Roman" w:hAnsi="Arial" w:cs="Arial"/>
          <w:lang w:val="en" w:eastAsia="en-ZA"/>
        </w:rPr>
        <w:t>Money is considered the most appropriate form of compensation, for both patrimonial loss (including medical costs, loss of income, cost of repairs, which fall under the heading of special damages) or non-patrimonial loss (including pain and suffering, disfigurement, loss of amenities and injury to personality, which fall under the heading of general damages).</w:t>
      </w:r>
    </w:p>
    <w:p w14:paraId="67306403" w14:textId="77777777" w:rsidR="002A2E13" w:rsidRDefault="002A2E13" w:rsidP="0070462B">
      <w:pPr>
        <w:spacing w:line="360" w:lineRule="auto"/>
        <w:ind w:left="1134"/>
        <w:jc w:val="both"/>
        <w:rPr>
          <w:rFonts w:ascii="Arial" w:eastAsia="Times New Roman" w:hAnsi="Arial" w:cs="Arial"/>
          <w:lang w:val="en" w:eastAsia="en-ZA"/>
        </w:rPr>
      </w:pPr>
      <w:r w:rsidRPr="00216A1A">
        <w:rPr>
          <w:rFonts w:ascii="Arial" w:eastAsia="Times New Roman" w:hAnsi="Arial" w:cs="Arial"/>
          <w:lang w:val="en" w:eastAsia="en-ZA"/>
        </w:rPr>
        <w:t>The quantification of the exact compensation to be made to a claimant is determined by the production of sufficient evidence to make an accurate assessment. The courts will not make arbitrary awards if sufficient evidence is not led as to how the quantification of the claimants’ damages were exactly computed.</w:t>
      </w:r>
    </w:p>
    <w:p w14:paraId="4679B995" w14:textId="77777777" w:rsidR="002A2E13" w:rsidRPr="00216A1A" w:rsidRDefault="002A2E13" w:rsidP="0070462B">
      <w:pPr>
        <w:spacing w:line="360" w:lineRule="auto"/>
        <w:ind w:left="1134"/>
        <w:jc w:val="both"/>
        <w:rPr>
          <w:rFonts w:ascii="Arial" w:hAnsi="Arial" w:cs="Arial"/>
        </w:rPr>
      </w:pPr>
      <w:r w:rsidRPr="00216A1A">
        <w:rPr>
          <w:rFonts w:ascii="Arial" w:hAnsi="Arial" w:cs="Arial"/>
        </w:rPr>
        <w:t>The process of compensation is determined by medico-legal evaluation of the Plaintiff. The purpose of medico-legal evaluation is to determine the following:</w:t>
      </w:r>
    </w:p>
    <w:p w14:paraId="46D15196" w14:textId="77777777" w:rsidR="002A2E13" w:rsidRPr="00216A1A" w:rsidRDefault="002A2E13" w:rsidP="0070462B">
      <w:pPr>
        <w:pStyle w:val="ListParagraph"/>
        <w:numPr>
          <w:ilvl w:val="0"/>
          <w:numId w:val="11"/>
        </w:numPr>
        <w:spacing w:after="0" w:line="360" w:lineRule="auto"/>
        <w:jc w:val="both"/>
        <w:rPr>
          <w:rFonts w:ascii="Arial" w:hAnsi="Arial" w:cs="Arial"/>
        </w:rPr>
      </w:pPr>
      <w:r w:rsidRPr="00216A1A">
        <w:rPr>
          <w:rFonts w:ascii="Arial" w:hAnsi="Arial" w:cs="Arial"/>
        </w:rPr>
        <w:t>The exact nature of the claimant’s injuries;</w:t>
      </w:r>
    </w:p>
    <w:p w14:paraId="6733B3C4" w14:textId="77777777" w:rsidR="002A2E13" w:rsidRPr="00216A1A" w:rsidRDefault="002A2E13" w:rsidP="0070462B">
      <w:pPr>
        <w:pStyle w:val="ListParagraph"/>
        <w:numPr>
          <w:ilvl w:val="0"/>
          <w:numId w:val="11"/>
        </w:numPr>
        <w:spacing w:after="0" w:line="360" w:lineRule="auto"/>
        <w:jc w:val="both"/>
        <w:rPr>
          <w:rFonts w:ascii="Arial" w:hAnsi="Arial" w:cs="Arial"/>
        </w:rPr>
      </w:pPr>
      <w:r w:rsidRPr="00216A1A">
        <w:rPr>
          <w:rFonts w:ascii="Arial" w:hAnsi="Arial" w:cs="Arial"/>
        </w:rPr>
        <w:t>The extent and severity of the claimant’s injuries;</w:t>
      </w:r>
    </w:p>
    <w:p w14:paraId="458462F5" w14:textId="77777777" w:rsidR="002A2E13" w:rsidRPr="00216A1A" w:rsidRDefault="002A2E13" w:rsidP="0070462B">
      <w:pPr>
        <w:pStyle w:val="ListParagraph"/>
        <w:numPr>
          <w:ilvl w:val="0"/>
          <w:numId w:val="11"/>
        </w:numPr>
        <w:spacing w:after="0" w:line="360" w:lineRule="auto"/>
        <w:jc w:val="both"/>
        <w:rPr>
          <w:rFonts w:ascii="Arial" w:hAnsi="Arial" w:cs="Arial"/>
        </w:rPr>
      </w:pPr>
      <w:r w:rsidRPr="00216A1A">
        <w:rPr>
          <w:rFonts w:ascii="Arial" w:hAnsi="Arial" w:cs="Arial"/>
        </w:rPr>
        <w:lastRenderedPageBreak/>
        <w:t>The sequelae and/or consequences that flow from the claimant’s injuries.</w:t>
      </w:r>
    </w:p>
    <w:p w14:paraId="02D53B68" w14:textId="77777777" w:rsidR="002A2E13" w:rsidRPr="00216A1A" w:rsidRDefault="002A2E13" w:rsidP="0070462B">
      <w:pPr>
        <w:pStyle w:val="ListParagraph"/>
        <w:spacing w:after="0" w:line="360" w:lineRule="auto"/>
        <w:jc w:val="both"/>
        <w:rPr>
          <w:rFonts w:ascii="Arial" w:hAnsi="Arial" w:cs="Arial"/>
        </w:rPr>
      </w:pPr>
    </w:p>
    <w:p w14:paraId="4954B58F" w14:textId="77777777" w:rsidR="002A2E13" w:rsidRPr="00216A1A" w:rsidRDefault="002A2E13" w:rsidP="0070462B">
      <w:pPr>
        <w:spacing w:line="360" w:lineRule="auto"/>
        <w:ind w:left="1134"/>
        <w:jc w:val="both"/>
        <w:rPr>
          <w:rFonts w:ascii="Arial" w:hAnsi="Arial" w:cs="Arial"/>
        </w:rPr>
      </w:pPr>
      <w:r w:rsidRPr="00216A1A">
        <w:rPr>
          <w:rFonts w:ascii="Arial" w:hAnsi="Arial" w:cs="Arial"/>
        </w:rPr>
        <w:t>The medico-legal evaluations are carried out by medical professionals that specifically specialise in the field of personal injury litigation.</w:t>
      </w:r>
    </w:p>
    <w:p w14:paraId="51C6124E" w14:textId="77777777" w:rsidR="002A2E13" w:rsidRPr="00216A1A" w:rsidRDefault="002A2E13" w:rsidP="0070462B">
      <w:pPr>
        <w:spacing w:line="360" w:lineRule="auto"/>
        <w:ind w:left="1134"/>
        <w:jc w:val="both"/>
        <w:rPr>
          <w:rFonts w:ascii="Arial" w:hAnsi="Arial" w:cs="Arial"/>
        </w:rPr>
      </w:pPr>
      <w:r w:rsidRPr="00216A1A">
        <w:rPr>
          <w:rFonts w:ascii="Arial" w:hAnsi="Arial" w:cs="Arial"/>
        </w:rPr>
        <w:t>In personal injury matters against the rail agency litigants claim mainly the following heads of damages:</w:t>
      </w:r>
    </w:p>
    <w:p w14:paraId="36B925A2" w14:textId="77777777" w:rsidR="002A2E13" w:rsidRPr="00216A1A" w:rsidRDefault="002A2E13" w:rsidP="0070462B">
      <w:pPr>
        <w:pStyle w:val="ListParagraph"/>
        <w:numPr>
          <w:ilvl w:val="0"/>
          <w:numId w:val="12"/>
        </w:numPr>
        <w:spacing w:after="0" w:line="360" w:lineRule="auto"/>
        <w:ind w:left="1134" w:firstLine="0"/>
        <w:jc w:val="both"/>
        <w:rPr>
          <w:rFonts w:ascii="Arial" w:hAnsi="Arial" w:cs="Arial"/>
        </w:rPr>
      </w:pPr>
      <w:r w:rsidRPr="00216A1A">
        <w:rPr>
          <w:rFonts w:ascii="Arial" w:hAnsi="Arial" w:cs="Arial"/>
        </w:rPr>
        <w:t>Past Medical Expenses;</w:t>
      </w:r>
    </w:p>
    <w:p w14:paraId="77E595E2" w14:textId="77777777" w:rsidR="002A2E13" w:rsidRPr="00216A1A" w:rsidRDefault="002A2E13" w:rsidP="0070462B">
      <w:pPr>
        <w:pStyle w:val="ListParagraph"/>
        <w:numPr>
          <w:ilvl w:val="0"/>
          <w:numId w:val="12"/>
        </w:numPr>
        <w:spacing w:after="0" w:line="360" w:lineRule="auto"/>
        <w:ind w:left="1134" w:firstLine="0"/>
        <w:jc w:val="both"/>
        <w:rPr>
          <w:rFonts w:ascii="Arial" w:hAnsi="Arial" w:cs="Arial"/>
        </w:rPr>
      </w:pPr>
      <w:r w:rsidRPr="00216A1A">
        <w:rPr>
          <w:rFonts w:ascii="Arial" w:hAnsi="Arial" w:cs="Arial"/>
        </w:rPr>
        <w:t>Future medical expenses;</w:t>
      </w:r>
    </w:p>
    <w:p w14:paraId="3DB3FDBB" w14:textId="77777777" w:rsidR="002A2E13" w:rsidRPr="00216A1A" w:rsidRDefault="002A2E13" w:rsidP="0070462B">
      <w:pPr>
        <w:pStyle w:val="ListParagraph"/>
        <w:numPr>
          <w:ilvl w:val="0"/>
          <w:numId w:val="12"/>
        </w:numPr>
        <w:spacing w:after="0" w:line="360" w:lineRule="auto"/>
        <w:ind w:left="1134" w:firstLine="0"/>
        <w:jc w:val="both"/>
        <w:rPr>
          <w:rFonts w:ascii="Arial" w:hAnsi="Arial" w:cs="Arial"/>
        </w:rPr>
      </w:pPr>
      <w:r w:rsidRPr="00216A1A">
        <w:rPr>
          <w:rFonts w:ascii="Arial" w:hAnsi="Arial" w:cs="Arial"/>
        </w:rPr>
        <w:t>Loss of Earnings and/or Earning Capacity;</w:t>
      </w:r>
    </w:p>
    <w:p w14:paraId="3D19C7E0" w14:textId="77777777" w:rsidR="002A2E13" w:rsidRPr="00216A1A" w:rsidRDefault="002A2E13" w:rsidP="0070462B">
      <w:pPr>
        <w:pStyle w:val="ListParagraph"/>
        <w:numPr>
          <w:ilvl w:val="0"/>
          <w:numId w:val="12"/>
        </w:numPr>
        <w:spacing w:after="0" w:line="360" w:lineRule="auto"/>
        <w:ind w:left="1134" w:firstLine="0"/>
        <w:jc w:val="both"/>
        <w:rPr>
          <w:rFonts w:ascii="Arial" w:hAnsi="Arial" w:cs="Arial"/>
        </w:rPr>
      </w:pPr>
      <w:r w:rsidRPr="00216A1A">
        <w:rPr>
          <w:rFonts w:ascii="Arial" w:hAnsi="Arial" w:cs="Arial"/>
        </w:rPr>
        <w:t>General damages.</w:t>
      </w:r>
    </w:p>
    <w:p w14:paraId="2115A728" w14:textId="77777777" w:rsidR="002A2E13" w:rsidRPr="00216A1A" w:rsidRDefault="002A2E13" w:rsidP="0070462B">
      <w:pPr>
        <w:spacing w:line="360" w:lineRule="auto"/>
        <w:ind w:left="1134"/>
        <w:jc w:val="both"/>
        <w:rPr>
          <w:rFonts w:ascii="Arial" w:hAnsi="Arial" w:cs="Arial"/>
        </w:rPr>
      </w:pPr>
    </w:p>
    <w:p w14:paraId="56BA67A5" w14:textId="77777777" w:rsidR="002A2E13" w:rsidRPr="00216A1A" w:rsidRDefault="002A2E13" w:rsidP="0070462B">
      <w:pPr>
        <w:spacing w:line="360" w:lineRule="auto"/>
        <w:ind w:left="1134"/>
        <w:jc w:val="both"/>
        <w:rPr>
          <w:rFonts w:ascii="Arial" w:hAnsi="Arial" w:cs="Arial"/>
        </w:rPr>
      </w:pPr>
      <w:r w:rsidRPr="00216A1A">
        <w:rPr>
          <w:rFonts w:ascii="Arial" w:hAnsi="Arial" w:cs="Arial"/>
        </w:rPr>
        <w:t>A due diligence exercise on matters settled above R150</w:t>
      </w:r>
      <w:r>
        <w:rPr>
          <w:rFonts w:ascii="Arial" w:hAnsi="Arial" w:cs="Arial"/>
        </w:rPr>
        <w:t>,</w:t>
      </w:r>
      <w:r w:rsidRPr="00216A1A">
        <w:rPr>
          <w:rFonts w:ascii="Arial" w:hAnsi="Arial" w:cs="Arial"/>
        </w:rPr>
        <w:t>000</w:t>
      </w:r>
      <w:r>
        <w:rPr>
          <w:rFonts w:ascii="Arial" w:hAnsi="Arial" w:cs="Arial"/>
        </w:rPr>
        <w:t>-</w:t>
      </w:r>
      <w:r w:rsidRPr="00216A1A">
        <w:rPr>
          <w:rFonts w:ascii="Arial" w:hAnsi="Arial" w:cs="Arial"/>
        </w:rPr>
        <w:t xml:space="preserve">00 between 2006 and 2016 revealed that a sizeable amount of expenses are paid towards future medical expenses. </w:t>
      </w:r>
    </w:p>
    <w:p w14:paraId="48271509" w14:textId="77777777" w:rsidR="002A2E13" w:rsidRPr="00216A1A" w:rsidRDefault="002A2E13" w:rsidP="0070462B">
      <w:pPr>
        <w:spacing w:line="360" w:lineRule="auto"/>
        <w:ind w:left="1134"/>
        <w:jc w:val="both"/>
        <w:rPr>
          <w:rFonts w:ascii="Arial" w:hAnsi="Arial" w:cs="Arial"/>
        </w:rPr>
      </w:pPr>
      <w:r w:rsidRPr="00216A1A">
        <w:rPr>
          <w:rFonts w:ascii="Arial" w:hAnsi="Arial" w:cs="Arial"/>
        </w:rPr>
        <w:t>Once the medico-legal evaluation of the claimant has been completed, and the impact of the injuries on him has been assessed, the determination of the exact compensation due to him must be made.</w:t>
      </w:r>
    </w:p>
    <w:p w14:paraId="1E5EC9EC" w14:textId="77777777" w:rsidR="002A2E13" w:rsidRPr="00216A1A" w:rsidRDefault="002A2E13" w:rsidP="0070462B">
      <w:pPr>
        <w:spacing w:line="360" w:lineRule="auto"/>
        <w:ind w:left="1134"/>
        <w:jc w:val="both"/>
        <w:rPr>
          <w:rFonts w:ascii="Arial" w:hAnsi="Arial" w:cs="Arial"/>
        </w:rPr>
      </w:pPr>
      <w:r w:rsidRPr="00216A1A">
        <w:rPr>
          <w:rFonts w:ascii="Arial" w:hAnsi="Arial" w:cs="Arial"/>
        </w:rPr>
        <w:t>In the case of past medical expenses specified medical vouchers delineating the exact nature of the medical treatment received, as well as showing that such medical treatment is accident related, must be provided.</w:t>
      </w:r>
    </w:p>
    <w:p w14:paraId="685D81BA" w14:textId="7F57BD89" w:rsidR="002A2E13" w:rsidRPr="00216A1A" w:rsidRDefault="002A2E13" w:rsidP="0070462B">
      <w:pPr>
        <w:spacing w:line="360" w:lineRule="auto"/>
        <w:ind w:left="1134"/>
        <w:jc w:val="both"/>
        <w:rPr>
          <w:rFonts w:ascii="Arial" w:hAnsi="Arial" w:cs="Arial"/>
        </w:rPr>
      </w:pPr>
      <w:r w:rsidRPr="00216A1A">
        <w:rPr>
          <w:rFonts w:ascii="Arial" w:hAnsi="Arial" w:cs="Arial"/>
        </w:rPr>
        <w:t>Due to the once and for all rule in our common law of delict, all damages including potential future damages, sustained by the claimant must be calculated at the time the matter is settled. The future medical treatment required by the claimant as well as his loss of earnings and/or earning capacity must be calculated. This calculation is done by actuarial scientists who take into consideration factors such as medical inflation, earnings inflation, other applicable contingency deductions, life expectancy tables</w:t>
      </w:r>
      <w:r>
        <w:rPr>
          <w:rFonts w:ascii="Arial" w:hAnsi="Arial" w:cs="Arial"/>
        </w:rPr>
        <w:t>,</w:t>
      </w:r>
      <w:r w:rsidRPr="00216A1A">
        <w:rPr>
          <w:rFonts w:ascii="Arial" w:hAnsi="Arial" w:cs="Arial"/>
        </w:rPr>
        <w:t xml:space="preserve"> etc</w:t>
      </w:r>
      <w:r>
        <w:rPr>
          <w:rFonts w:ascii="Arial" w:hAnsi="Arial" w:cs="Arial"/>
        </w:rPr>
        <w:t>.</w:t>
      </w:r>
    </w:p>
    <w:p w14:paraId="6646A492" w14:textId="77777777" w:rsidR="002A2E13" w:rsidRPr="00216A1A" w:rsidRDefault="002A2E13" w:rsidP="0070462B">
      <w:pPr>
        <w:spacing w:line="360" w:lineRule="auto"/>
        <w:ind w:left="1134"/>
        <w:jc w:val="both"/>
        <w:rPr>
          <w:rFonts w:ascii="Arial" w:hAnsi="Arial" w:cs="Arial"/>
        </w:rPr>
      </w:pPr>
      <w:r w:rsidRPr="00216A1A">
        <w:rPr>
          <w:rFonts w:ascii="Arial" w:hAnsi="Arial" w:cs="Arial"/>
        </w:rPr>
        <w:t>General damages awards are awards made for the pain and suffering, loss of amenities</w:t>
      </w:r>
      <w:r>
        <w:rPr>
          <w:rFonts w:ascii="Arial" w:hAnsi="Arial" w:cs="Arial"/>
        </w:rPr>
        <w:t>,</w:t>
      </w:r>
      <w:r w:rsidRPr="00216A1A">
        <w:rPr>
          <w:rFonts w:ascii="Arial" w:hAnsi="Arial" w:cs="Arial"/>
        </w:rPr>
        <w:t xml:space="preserve"> etc</w:t>
      </w:r>
      <w:r>
        <w:rPr>
          <w:rFonts w:ascii="Arial" w:hAnsi="Arial" w:cs="Arial"/>
        </w:rPr>
        <w:t>.</w:t>
      </w:r>
      <w:r w:rsidRPr="00216A1A">
        <w:rPr>
          <w:rFonts w:ascii="Arial" w:hAnsi="Arial" w:cs="Arial"/>
        </w:rPr>
        <w:t xml:space="preserve"> that the claimant has suffered. These awards are made on the precedents set by awards handed down by the courts in previous cases. The courts </w:t>
      </w:r>
      <w:r w:rsidRPr="00216A1A">
        <w:rPr>
          <w:rFonts w:ascii="Arial" w:hAnsi="Arial" w:cs="Arial"/>
        </w:rPr>
        <w:lastRenderedPageBreak/>
        <w:t>make their award in the matter before them based on facts and circumstances that are considered analogous to the previous cases. All of the above is available for guidance and direction in the annually published Robert J Kock Quantum Year Book that is widely accepted as the general guide in claims settlement by the legal fraternity including the courts.</w:t>
      </w:r>
    </w:p>
    <w:p w14:paraId="3F245360" w14:textId="77777777" w:rsidR="002A2E13" w:rsidRPr="00216A1A" w:rsidRDefault="002A2E13" w:rsidP="002A2E13">
      <w:pPr>
        <w:spacing w:before="100" w:beforeAutospacing="1" w:after="100" w:afterAutospacing="1" w:line="240" w:lineRule="auto"/>
        <w:ind w:left="1134"/>
        <w:jc w:val="both"/>
        <w:outlineLvl w:val="0"/>
        <w:rPr>
          <w:rFonts w:ascii="Arial" w:eastAsia="Calibri" w:hAnsi="Arial" w:cs="Arial"/>
          <w:lang w:val="en-ZA"/>
        </w:rPr>
      </w:pPr>
    </w:p>
    <w:p w14:paraId="6F9F57A6" w14:textId="77777777" w:rsidR="002A2E13" w:rsidRPr="004E5F5E" w:rsidRDefault="002A2E13" w:rsidP="002A2E13">
      <w:pPr>
        <w:pStyle w:val="ListParagraph"/>
        <w:tabs>
          <w:tab w:val="left" w:pos="567"/>
        </w:tabs>
        <w:spacing w:after="0" w:line="240" w:lineRule="auto"/>
        <w:ind w:left="1134"/>
        <w:jc w:val="both"/>
        <w:outlineLvl w:val="0"/>
        <w:rPr>
          <w:rFonts w:ascii="Arial" w:eastAsia="Calibri" w:hAnsi="Arial" w:cs="Arial"/>
          <w:lang w:val="en-ZA"/>
        </w:rPr>
      </w:pPr>
    </w:p>
    <w:p w14:paraId="76C43CEC" w14:textId="405F045D" w:rsidR="001068D0" w:rsidRPr="000653BA" w:rsidRDefault="001068D0" w:rsidP="000653BA"/>
    <w:sectPr w:rsidR="001068D0" w:rsidRPr="000653BA" w:rsidSect="00AC5B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E8CBD" w14:textId="77777777" w:rsidR="00002865" w:rsidRDefault="00002865" w:rsidP="00DB1508">
      <w:pPr>
        <w:spacing w:after="0" w:line="240" w:lineRule="auto"/>
      </w:pPr>
      <w:r>
        <w:separator/>
      </w:r>
    </w:p>
  </w:endnote>
  <w:endnote w:type="continuationSeparator" w:id="0">
    <w:p w14:paraId="25355C59" w14:textId="77777777" w:rsidR="00002865" w:rsidRDefault="0000286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860480"/>
      <w:docPartObj>
        <w:docPartGallery w:val="Page Numbers (Bottom of Page)"/>
        <w:docPartUnique/>
      </w:docPartObj>
    </w:sdtPr>
    <w:sdtEndPr>
      <w:rPr>
        <w:noProof/>
      </w:rPr>
    </w:sdtEndPr>
    <w:sdtContent>
      <w:p w14:paraId="767265BC" w14:textId="17640107" w:rsidR="00890920" w:rsidRDefault="00890920">
        <w:pPr>
          <w:pStyle w:val="Footer"/>
          <w:jc w:val="right"/>
        </w:pPr>
        <w:r>
          <w:fldChar w:fldCharType="begin"/>
        </w:r>
        <w:r>
          <w:instrText xml:space="preserve"> PAGE   \* MERGEFORMAT </w:instrText>
        </w:r>
        <w:r>
          <w:fldChar w:fldCharType="separate"/>
        </w:r>
        <w:r w:rsidR="00C6443A">
          <w:rPr>
            <w:noProof/>
          </w:rPr>
          <w:t>1</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93B4F" w14:textId="77777777" w:rsidR="00002865" w:rsidRDefault="00002865" w:rsidP="00DB1508">
      <w:pPr>
        <w:spacing w:after="0" w:line="240" w:lineRule="auto"/>
      </w:pPr>
      <w:r>
        <w:separator/>
      </w:r>
    </w:p>
  </w:footnote>
  <w:footnote w:type="continuationSeparator" w:id="0">
    <w:p w14:paraId="6731F295" w14:textId="77777777" w:rsidR="00002865" w:rsidRDefault="00002865"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0186"/>
    <w:multiLevelType w:val="hybridMultilevel"/>
    <w:tmpl w:val="3B688952"/>
    <w:lvl w:ilvl="0" w:tplc="1C09000F">
      <w:start w:val="1"/>
      <w:numFmt w:val="decimal"/>
      <w:lvlText w:val="%1."/>
      <w:lvlJc w:val="left"/>
      <w:pPr>
        <w:ind w:left="1131" w:hanging="360"/>
      </w:pPr>
    </w:lvl>
    <w:lvl w:ilvl="1" w:tplc="1C090019" w:tentative="1">
      <w:start w:val="1"/>
      <w:numFmt w:val="lowerLetter"/>
      <w:lvlText w:val="%2."/>
      <w:lvlJc w:val="left"/>
      <w:pPr>
        <w:ind w:left="1851" w:hanging="360"/>
      </w:pPr>
    </w:lvl>
    <w:lvl w:ilvl="2" w:tplc="1C09001B" w:tentative="1">
      <w:start w:val="1"/>
      <w:numFmt w:val="lowerRoman"/>
      <w:lvlText w:val="%3."/>
      <w:lvlJc w:val="right"/>
      <w:pPr>
        <w:ind w:left="2571" w:hanging="180"/>
      </w:pPr>
    </w:lvl>
    <w:lvl w:ilvl="3" w:tplc="1C09000F" w:tentative="1">
      <w:start w:val="1"/>
      <w:numFmt w:val="decimal"/>
      <w:lvlText w:val="%4."/>
      <w:lvlJc w:val="left"/>
      <w:pPr>
        <w:ind w:left="3291" w:hanging="360"/>
      </w:pPr>
    </w:lvl>
    <w:lvl w:ilvl="4" w:tplc="1C090019" w:tentative="1">
      <w:start w:val="1"/>
      <w:numFmt w:val="lowerLetter"/>
      <w:lvlText w:val="%5."/>
      <w:lvlJc w:val="left"/>
      <w:pPr>
        <w:ind w:left="4011" w:hanging="360"/>
      </w:pPr>
    </w:lvl>
    <w:lvl w:ilvl="5" w:tplc="1C09001B" w:tentative="1">
      <w:start w:val="1"/>
      <w:numFmt w:val="lowerRoman"/>
      <w:lvlText w:val="%6."/>
      <w:lvlJc w:val="right"/>
      <w:pPr>
        <w:ind w:left="4731" w:hanging="180"/>
      </w:pPr>
    </w:lvl>
    <w:lvl w:ilvl="6" w:tplc="1C09000F" w:tentative="1">
      <w:start w:val="1"/>
      <w:numFmt w:val="decimal"/>
      <w:lvlText w:val="%7."/>
      <w:lvlJc w:val="left"/>
      <w:pPr>
        <w:ind w:left="5451" w:hanging="360"/>
      </w:pPr>
    </w:lvl>
    <w:lvl w:ilvl="7" w:tplc="1C090019" w:tentative="1">
      <w:start w:val="1"/>
      <w:numFmt w:val="lowerLetter"/>
      <w:lvlText w:val="%8."/>
      <w:lvlJc w:val="left"/>
      <w:pPr>
        <w:ind w:left="6171" w:hanging="360"/>
      </w:pPr>
    </w:lvl>
    <w:lvl w:ilvl="8" w:tplc="1C09001B" w:tentative="1">
      <w:start w:val="1"/>
      <w:numFmt w:val="lowerRoman"/>
      <w:lvlText w:val="%9."/>
      <w:lvlJc w:val="right"/>
      <w:pPr>
        <w:ind w:left="6891" w:hanging="180"/>
      </w:pPr>
    </w:lvl>
  </w:abstractNum>
  <w:abstractNum w:abstractNumId="1"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E763B76"/>
    <w:multiLevelType w:val="hybridMultilevel"/>
    <w:tmpl w:val="D96EDFCC"/>
    <w:lvl w:ilvl="0" w:tplc="3FF052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E2A52"/>
    <w:multiLevelType w:val="hybridMultilevel"/>
    <w:tmpl w:val="924046F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B40D2"/>
    <w:multiLevelType w:val="hybridMultilevel"/>
    <w:tmpl w:val="8016526C"/>
    <w:lvl w:ilvl="0" w:tplc="80F4972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7"/>
  </w:num>
  <w:num w:numId="5">
    <w:abstractNumId w:val="6"/>
  </w:num>
  <w:num w:numId="6">
    <w:abstractNumId w:val="8"/>
  </w:num>
  <w:num w:numId="7">
    <w:abstractNumId w:val="1"/>
  </w:num>
  <w:num w:numId="8">
    <w:abstractNumId w:val="4"/>
  </w:num>
  <w:num w:numId="9">
    <w:abstractNumId w:val="2"/>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2865"/>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2E13"/>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62B"/>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43A"/>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3630-1103-4423-8BF2-D311502E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2018-03-19T09:22:00Z</cp:lastPrinted>
  <dcterms:created xsi:type="dcterms:W3CDTF">2019-04-16T12:44:00Z</dcterms:created>
  <dcterms:modified xsi:type="dcterms:W3CDTF">2019-04-16T12:44:00Z</dcterms:modified>
</cp:coreProperties>
</file>