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B45C59"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E9672C">
        <w:rPr>
          <w:rFonts w:ascii="Arial" w:hAnsi="Arial" w:cs="Arial"/>
          <w:b/>
          <w:bCs/>
          <w:sz w:val="20"/>
        </w:rPr>
        <w:t>7</w:t>
      </w:r>
      <w:r w:rsidR="008559A8">
        <w:rPr>
          <w:rFonts w:ascii="Arial" w:hAnsi="Arial" w:cs="Arial"/>
          <w:b/>
          <w:bCs/>
          <w:sz w:val="20"/>
        </w:rPr>
        <w:t>7</w:t>
      </w:r>
      <w:r w:rsidR="00D56B70">
        <w:rPr>
          <w:rFonts w:ascii="Arial" w:hAnsi="Arial" w:cs="Arial"/>
          <w:b/>
          <w:bCs/>
          <w:sz w:val="20"/>
        </w:rPr>
        <w:t>4</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D56B70">
        <w:rPr>
          <w:rFonts w:ascii="Arial" w:hAnsi="Arial" w:cs="Arial"/>
          <w:b/>
          <w:bCs/>
          <w:sz w:val="20"/>
        </w:rPr>
        <w:t>20</w:t>
      </w:r>
      <w:r w:rsidR="00E9672C">
        <w:rPr>
          <w:rFonts w:ascii="Arial" w:hAnsi="Arial" w:cs="Arial"/>
          <w:b/>
          <w:bCs/>
          <w:sz w:val="20"/>
        </w:rPr>
        <w:t xml:space="preserve"> April</w:t>
      </w:r>
      <w:r w:rsidR="00856D44">
        <w:rPr>
          <w:rFonts w:ascii="Arial" w:hAnsi="Arial" w:cs="Arial"/>
          <w:b/>
          <w:bCs/>
          <w:sz w:val="20"/>
        </w:rPr>
        <w:t xml:space="preserve">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E9672C">
        <w:rPr>
          <w:rFonts w:ascii="Arial" w:hAnsi="Arial" w:cs="Arial"/>
          <w:sz w:val="20"/>
          <w:szCs w:val="20"/>
        </w:rPr>
        <w:t>7</w:t>
      </w:r>
      <w:r w:rsidR="008559A8">
        <w:rPr>
          <w:rFonts w:ascii="Arial" w:hAnsi="Arial" w:cs="Arial"/>
          <w:sz w:val="20"/>
          <w:szCs w:val="20"/>
        </w:rPr>
        <w:t>7</w:t>
      </w:r>
      <w:r w:rsidR="00D56B70">
        <w:rPr>
          <w:rFonts w:ascii="Arial" w:hAnsi="Arial" w:cs="Arial"/>
          <w:sz w:val="20"/>
          <w:szCs w:val="20"/>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B45C59"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E9672C">
        <w:rPr>
          <w:rFonts w:ascii="Arial" w:hAnsi="Arial" w:cs="Arial"/>
          <w:b/>
        </w:rPr>
        <w:t>7</w:t>
      </w:r>
      <w:r w:rsidR="008559A8">
        <w:rPr>
          <w:rFonts w:ascii="Arial" w:hAnsi="Arial" w:cs="Arial"/>
          <w:b/>
        </w:rPr>
        <w:t>7</w:t>
      </w:r>
      <w:r w:rsidR="00D56B70">
        <w:rPr>
          <w:rFonts w:ascii="Arial" w:hAnsi="Arial" w:cs="Arial"/>
          <w:b/>
        </w:rPr>
        <w:t>4</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E9672C">
        <w:rPr>
          <w:rFonts w:ascii="Arial" w:hAnsi="Arial" w:cs="Arial"/>
          <w:b/>
        </w:rPr>
        <w:t>24</w:t>
      </w:r>
      <w:r w:rsidR="00856D44">
        <w:rPr>
          <w:rFonts w:ascii="Arial" w:hAnsi="Arial" w:cs="Arial"/>
          <w:b/>
        </w:rPr>
        <w:t xml:space="preserve"> MARCH</w:t>
      </w:r>
      <w:r w:rsidR="00DC0DD3">
        <w:rPr>
          <w:rFonts w:ascii="Arial" w:hAnsi="Arial" w:cs="Arial"/>
          <w:b/>
        </w:rPr>
        <w:t xml:space="preserve"> 2017</w:t>
      </w:r>
    </w:p>
    <w:p w:rsidR="007252FF" w:rsidRPr="007252FF" w:rsidRDefault="007252FF" w:rsidP="006C7F97">
      <w:pPr>
        <w:jc w:val="both"/>
        <w:rPr>
          <w:rFonts w:ascii="Arial" w:hAnsi="Arial" w:cs="Arial"/>
          <w:bCs/>
          <w:lang w:val="en-ZA"/>
        </w:rPr>
      </w:pPr>
    </w:p>
    <w:p w:rsidR="00856D44" w:rsidRPr="002C3369" w:rsidRDefault="00E9672C" w:rsidP="004941C3">
      <w:pPr>
        <w:tabs>
          <w:tab w:val="left" w:pos="709"/>
        </w:tabs>
        <w:spacing w:before="100" w:beforeAutospacing="1" w:after="100" w:afterAutospacing="1"/>
        <w:jc w:val="both"/>
        <w:rPr>
          <w:rFonts w:ascii="Arial" w:hAnsi="Arial" w:cs="Arial"/>
          <w:b/>
          <w:bCs/>
          <w:lang w:val="en-ZA"/>
        </w:rPr>
      </w:pPr>
      <w:r>
        <w:rPr>
          <w:rFonts w:ascii="Arial" w:hAnsi="Arial" w:cs="Arial"/>
          <w:b/>
          <w:bCs/>
          <w:lang w:val="en-ZA"/>
        </w:rPr>
        <w:t>7</w:t>
      </w:r>
      <w:r w:rsidR="0031287E">
        <w:rPr>
          <w:rFonts w:ascii="Arial" w:hAnsi="Arial" w:cs="Arial"/>
          <w:b/>
          <w:bCs/>
          <w:lang w:val="en-ZA"/>
        </w:rPr>
        <w:t>7</w:t>
      </w:r>
      <w:r w:rsidR="002F4D31">
        <w:rPr>
          <w:rFonts w:ascii="Arial" w:hAnsi="Arial" w:cs="Arial"/>
          <w:b/>
          <w:bCs/>
          <w:lang w:val="en-ZA"/>
        </w:rPr>
        <w:t>4</w:t>
      </w:r>
      <w:r>
        <w:rPr>
          <w:rFonts w:ascii="Arial" w:hAnsi="Arial" w:cs="Arial"/>
          <w:b/>
          <w:bCs/>
          <w:lang w:val="en-ZA"/>
        </w:rPr>
        <w:t>.</w:t>
      </w:r>
      <w:r>
        <w:rPr>
          <w:rFonts w:ascii="Arial" w:hAnsi="Arial" w:cs="Arial"/>
          <w:b/>
          <w:bCs/>
          <w:lang w:val="en-ZA"/>
        </w:rPr>
        <w:tab/>
      </w:r>
      <w:r w:rsidR="003C57E0">
        <w:rPr>
          <w:b/>
          <w:bCs/>
        </w:rPr>
        <w:t>Ms N W A Mazzone (DA)</w:t>
      </w:r>
      <w:r w:rsidR="00856D44" w:rsidRPr="002C3369">
        <w:rPr>
          <w:rFonts w:ascii="Arial" w:hAnsi="Arial" w:cs="Arial"/>
          <w:b/>
          <w:bCs/>
          <w:lang w:val="en-ZA"/>
        </w:rPr>
        <w:t xml:space="preserve"> to ask the Minister of Public Enterprises:</w:t>
      </w:r>
    </w:p>
    <w:p w:rsidR="00D56B70" w:rsidRPr="00113911" w:rsidRDefault="00D56B70" w:rsidP="00D56B70">
      <w:pPr>
        <w:spacing w:before="100" w:beforeAutospacing="1" w:after="100" w:afterAutospacing="1"/>
        <w:ind w:left="709" w:firstLine="11"/>
        <w:jc w:val="both"/>
        <w:rPr>
          <w:rFonts w:ascii="Tahoma" w:hAnsi="Tahoma" w:cs="Tahoma"/>
          <w:sz w:val="20"/>
        </w:rPr>
      </w:pPr>
      <w:r w:rsidRPr="00113911">
        <w:rPr>
          <w:rFonts w:ascii="Tahoma" w:hAnsi="Tahoma" w:cs="Tahoma"/>
        </w:rPr>
        <w:t xml:space="preserve">With reference to her reply to question 121 on 28 February 2017, on what basis are the minutes of each meeting of the Transnet Board, where the decision was taken to award the specified contracts, considered commercially sensitive?                      </w:t>
      </w:r>
      <w:r>
        <w:rPr>
          <w:rFonts w:ascii="Tahoma" w:hAnsi="Tahoma" w:cs="Tahoma"/>
        </w:rPr>
        <w:t xml:space="preserve">                                        </w:t>
      </w:r>
      <w:r w:rsidRPr="00113911">
        <w:rPr>
          <w:rFonts w:ascii="Tahoma" w:hAnsi="Tahoma" w:cs="Tahoma"/>
          <w:sz w:val="20"/>
        </w:rPr>
        <w:t>NW833E</w:t>
      </w:r>
    </w:p>
    <w:p w:rsidR="00E9672C" w:rsidRPr="00E9672C" w:rsidRDefault="00E9672C" w:rsidP="00D56B70">
      <w:pPr>
        <w:spacing w:before="100" w:beforeAutospacing="1" w:after="100" w:afterAutospacing="1" w:line="276" w:lineRule="auto"/>
        <w:ind w:left="720" w:hanging="720"/>
        <w:jc w:val="both"/>
        <w:rPr>
          <w:rFonts w:ascii="Arial" w:hAnsi="Arial" w:cs="Arial"/>
          <w:bCs/>
          <w:lang w:val="en-ZA"/>
        </w:rPr>
      </w:pPr>
    </w:p>
    <w:p w:rsidR="007613B1" w:rsidRPr="002C3369" w:rsidRDefault="007613B1" w:rsidP="006C7F97">
      <w:pPr>
        <w:jc w:val="both"/>
        <w:rPr>
          <w:rFonts w:ascii="Arial" w:hAnsi="Arial" w:cs="Arial"/>
          <w:bCs/>
        </w:rPr>
      </w:pPr>
    </w:p>
    <w:p w:rsidR="007252FF" w:rsidRPr="00B62342" w:rsidRDefault="007252FF" w:rsidP="006C7F97">
      <w:pPr>
        <w:jc w:val="both"/>
        <w:rPr>
          <w:rFonts w:ascii="Arial" w:hAnsi="Arial" w:cs="Arial"/>
          <w:b/>
          <w:bCs/>
        </w:rPr>
      </w:pPr>
      <w:r w:rsidRPr="00B62342">
        <w:rPr>
          <w:rFonts w:ascii="Arial" w:hAnsi="Arial" w:cs="Arial"/>
          <w:b/>
          <w:bCs/>
        </w:rPr>
        <w:t>Reply:</w:t>
      </w:r>
    </w:p>
    <w:p w:rsidR="00A13546" w:rsidRPr="002C3369" w:rsidRDefault="00A13546" w:rsidP="00A13546">
      <w:pPr>
        <w:jc w:val="both"/>
        <w:rPr>
          <w:rFonts w:ascii="Arial" w:hAnsi="Arial" w:cs="Arial"/>
          <w:bCs/>
        </w:rPr>
      </w:pPr>
    </w:p>
    <w:p w:rsidR="00D56B70" w:rsidRDefault="00D56B70" w:rsidP="00D56B70">
      <w:pPr>
        <w:ind w:left="709"/>
        <w:jc w:val="both"/>
        <w:rPr>
          <w:rFonts w:ascii="Tahoma" w:hAnsi="Tahoma" w:cs="Tahoma"/>
        </w:rPr>
      </w:pPr>
      <w:r w:rsidRPr="00D56B70">
        <w:rPr>
          <w:rFonts w:ascii="Tahoma" w:hAnsi="Tahoma" w:cs="Tahoma"/>
        </w:rPr>
        <w:t>Protection of proprietary rights is a key consideration in Transnet SOC Ltd’s dealing with potential and current suppliers. Transnet is not at liberty to divulge the details of commercially sensitive information belonging to parties we are contracting without written consent. This includes details such as pricing strategies.</w:t>
      </w:r>
    </w:p>
    <w:p w:rsidR="003C57E0" w:rsidRDefault="003C57E0" w:rsidP="00D56B70">
      <w:pPr>
        <w:ind w:left="709"/>
        <w:jc w:val="both"/>
        <w:rPr>
          <w:rFonts w:ascii="Tahoma" w:hAnsi="Tahoma" w:cs="Tahoma"/>
        </w:rPr>
      </w:pPr>
    </w:p>
    <w:p w:rsidR="003C57E0" w:rsidRPr="00D56B70" w:rsidRDefault="003C57E0" w:rsidP="00D56B70">
      <w:pPr>
        <w:ind w:left="709"/>
        <w:jc w:val="both"/>
        <w:rPr>
          <w:rFonts w:ascii="Tahoma" w:hAnsi="Tahoma" w:cs="Tahoma"/>
        </w:rPr>
      </w:pPr>
      <w:r>
        <w:rPr>
          <w:rFonts w:ascii="Tahoma" w:hAnsi="Tahoma" w:cs="Tahoma"/>
        </w:rPr>
        <w:t>Further, I am satisfied that sufficient information was provided and responded to in detail in the response to Parliamentary Question 121.</w:t>
      </w:r>
    </w:p>
    <w:p w:rsidR="00E9672C" w:rsidRPr="00D56B70" w:rsidRDefault="00E9672C" w:rsidP="00E9672C">
      <w:pPr>
        <w:spacing w:line="276" w:lineRule="auto"/>
        <w:rPr>
          <w:rFonts w:ascii="Tahoma" w:hAnsi="Tahoma" w:cs="Tahoma"/>
        </w:rPr>
      </w:pPr>
    </w:p>
    <w:p w:rsidR="00147ADE" w:rsidRDefault="00147ADE" w:rsidP="00147ADE">
      <w:pPr>
        <w:pStyle w:val="ListParagraph"/>
        <w:spacing w:before="100" w:beforeAutospacing="1" w:after="100" w:afterAutospacing="1" w:line="360" w:lineRule="auto"/>
        <w:contextualSpacing w:val="0"/>
        <w:jc w:val="both"/>
        <w:rPr>
          <w:rFonts w:ascii="Tahoma" w:hAnsi="Tahoma" w:cs="Tahoma"/>
        </w:rPr>
      </w:pPr>
    </w:p>
    <w:p w:rsidR="00856D44" w:rsidRDefault="00856D44"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D56B70" w:rsidRPr="00EA3DFB" w:rsidRDefault="007776BB" w:rsidP="006C7F97">
      <w:pPr>
        <w:jc w:val="both"/>
        <w:rPr>
          <w:rFonts w:ascii="Arial" w:hAnsi="Arial" w:cs="Arial"/>
          <w:b/>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sectPr w:rsidR="00D56B70"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E2" w:rsidRDefault="00A72BE2" w:rsidP="002F7B6C">
      <w:r>
        <w:separator/>
      </w:r>
    </w:p>
  </w:endnote>
  <w:endnote w:type="continuationSeparator" w:id="0">
    <w:p w:rsidR="00A72BE2" w:rsidRDefault="00A72BE2"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A72BE2">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E2" w:rsidRDefault="00A72BE2" w:rsidP="002F7B6C">
      <w:r>
        <w:separator/>
      </w:r>
    </w:p>
  </w:footnote>
  <w:footnote w:type="continuationSeparator" w:id="0">
    <w:p w:rsidR="00A72BE2" w:rsidRDefault="00A72BE2"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72F7E47"/>
    <w:multiLevelType w:val="hybridMultilevel"/>
    <w:tmpl w:val="1F20521E"/>
    <w:lvl w:ilvl="0" w:tplc="633ED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3CC50A70"/>
    <w:multiLevelType w:val="hybridMultilevel"/>
    <w:tmpl w:val="47805098"/>
    <w:lvl w:ilvl="0" w:tplc="02921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23319D3"/>
    <w:multiLevelType w:val="hybridMultilevel"/>
    <w:tmpl w:val="A6A81CD0"/>
    <w:lvl w:ilvl="0" w:tplc="B9AC8D42">
      <w:start w:val="3"/>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nsid w:val="6753254A"/>
    <w:multiLevelType w:val="hybridMultilevel"/>
    <w:tmpl w:val="914226CA"/>
    <w:lvl w:ilvl="0" w:tplc="AB520328">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F4249C8"/>
    <w:multiLevelType w:val="hybridMultilevel"/>
    <w:tmpl w:val="F574EFB8"/>
    <w:lvl w:ilvl="0" w:tplc="9EF6B4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10"/>
  </w:num>
  <w:num w:numId="3">
    <w:abstractNumId w:val="9"/>
  </w:num>
  <w:num w:numId="4">
    <w:abstractNumId w:val="5"/>
  </w:num>
  <w:num w:numId="5">
    <w:abstractNumId w:val="4"/>
  </w:num>
  <w:num w:numId="6">
    <w:abstractNumId w:val="0"/>
  </w:num>
  <w:num w:numId="7">
    <w:abstractNumId w:val="2"/>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47ADE"/>
    <w:rsid w:val="00154917"/>
    <w:rsid w:val="001617C6"/>
    <w:rsid w:val="001740EB"/>
    <w:rsid w:val="001768FA"/>
    <w:rsid w:val="00180887"/>
    <w:rsid w:val="001835A6"/>
    <w:rsid w:val="00187731"/>
    <w:rsid w:val="001A15FB"/>
    <w:rsid w:val="001A2020"/>
    <w:rsid w:val="001A63AA"/>
    <w:rsid w:val="001B58A0"/>
    <w:rsid w:val="001B5E1F"/>
    <w:rsid w:val="001D6636"/>
    <w:rsid w:val="001E36FF"/>
    <w:rsid w:val="001F68BA"/>
    <w:rsid w:val="001F720D"/>
    <w:rsid w:val="00202E8D"/>
    <w:rsid w:val="00204BA5"/>
    <w:rsid w:val="00205793"/>
    <w:rsid w:val="002102C5"/>
    <w:rsid w:val="00226482"/>
    <w:rsid w:val="00231713"/>
    <w:rsid w:val="00236A8D"/>
    <w:rsid w:val="00251886"/>
    <w:rsid w:val="00252C22"/>
    <w:rsid w:val="00253EEE"/>
    <w:rsid w:val="002558F8"/>
    <w:rsid w:val="00262983"/>
    <w:rsid w:val="00262CCB"/>
    <w:rsid w:val="0028110A"/>
    <w:rsid w:val="002860E0"/>
    <w:rsid w:val="002945C8"/>
    <w:rsid w:val="002A2992"/>
    <w:rsid w:val="002C183F"/>
    <w:rsid w:val="002C219A"/>
    <w:rsid w:val="002C3369"/>
    <w:rsid w:val="002C356F"/>
    <w:rsid w:val="002E237E"/>
    <w:rsid w:val="002E2DEB"/>
    <w:rsid w:val="002E3DDC"/>
    <w:rsid w:val="002F4D31"/>
    <w:rsid w:val="002F564A"/>
    <w:rsid w:val="002F7B6C"/>
    <w:rsid w:val="003022B2"/>
    <w:rsid w:val="00304D24"/>
    <w:rsid w:val="0031287E"/>
    <w:rsid w:val="00335B3C"/>
    <w:rsid w:val="00344369"/>
    <w:rsid w:val="003502E6"/>
    <w:rsid w:val="003709B8"/>
    <w:rsid w:val="00375892"/>
    <w:rsid w:val="003828D9"/>
    <w:rsid w:val="0039441D"/>
    <w:rsid w:val="00397F90"/>
    <w:rsid w:val="003A0568"/>
    <w:rsid w:val="003A7F30"/>
    <w:rsid w:val="003B107C"/>
    <w:rsid w:val="003C57E0"/>
    <w:rsid w:val="003E19BD"/>
    <w:rsid w:val="003E4CFD"/>
    <w:rsid w:val="003F04C2"/>
    <w:rsid w:val="004278AA"/>
    <w:rsid w:val="0044749D"/>
    <w:rsid w:val="0046734D"/>
    <w:rsid w:val="00470635"/>
    <w:rsid w:val="00493249"/>
    <w:rsid w:val="004941C3"/>
    <w:rsid w:val="004A79CE"/>
    <w:rsid w:val="004B635B"/>
    <w:rsid w:val="004C4CB3"/>
    <w:rsid w:val="004C5539"/>
    <w:rsid w:val="004D461D"/>
    <w:rsid w:val="004D772A"/>
    <w:rsid w:val="004E1FD7"/>
    <w:rsid w:val="004E3AE1"/>
    <w:rsid w:val="005007A5"/>
    <w:rsid w:val="005047F1"/>
    <w:rsid w:val="00522118"/>
    <w:rsid w:val="00523999"/>
    <w:rsid w:val="005240E0"/>
    <w:rsid w:val="00530AF1"/>
    <w:rsid w:val="00541AB0"/>
    <w:rsid w:val="00543405"/>
    <w:rsid w:val="00543F78"/>
    <w:rsid w:val="0054476C"/>
    <w:rsid w:val="00550D7F"/>
    <w:rsid w:val="00557E9E"/>
    <w:rsid w:val="00572202"/>
    <w:rsid w:val="00584888"/>
    <w:rsid w:val="005A234A"/>
    <w:rsid w:val="005A49C8"/>
    <w:rsid w:val="005B4544"/>
    <w:rsid w:val="005B5054"/>
    <w:rsid w:val="005C2BD3"/>
    <w:rsid w:val="005C3BE9"/>
    <w:rsid w:val="005D4452"/>
    <w:rsid w:val="005E232A"/>
    <w:rsid w:val="005F2D94"/>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C7F97"/>
    <w:rsid w:val="006E0341"/>
    <w:rsid w:val="00705C70"/>
    <w:rsid w:val="00705E4A"/>
    <w:rsid w:val="007113A7"/>
    <w:rsid w:val="00712883"/>
    <w:rsid w:val="00712C1E"/>
    <w:rsid w:val="007252FF"/>
    <w:rsid w:val="00736012"/>
    <w:rsid w:val="007409DE"/>
    <w:rsid w:val="00742BC6"/>
    <w:rsid w:val="00747CF6"/>
    <w:rsid w:val="007613B1"/>
    <w:rsid w:val="0076173C"/>
    <w:rsid w:val="00763B2A"/>
    <w:rsid w:val="00770C6C"/>
    <w:rsid w:val="007721D8"/>
    <w:rsid w:val="007776BB"/>
    <w:rsid w:val="007821F5"/>
    <w:rsid w:val="00794BA1"/>
    <w:rsid w:val="00795DFC"/>
    <w:rsid w:val="00796B78"/>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59A8"/>
    <w:rsid w:val="00856D44"/>
    <w:rsid w:val="00857EE2"/>
    <w:rsid w:val="008617C6"/>
    <w:rsid w:val="0087180B"/>
    <w:rsid w:val="00881CA9"/>
    <w:rsid w:val="008858C0"/>
    <w:rsid w:val="00887984"/>
    <w:rsid w:val="00892651"/>
    <w:rsid w:val="0089706A"/>
    <w:rsid w:val="008971B8"/>
    <w:rsid w:val="008A124E"/>
    <w:rsid w:val="008A25CE"/>
    <w:rsid w:val="008E0C4E"/>
    <w:rsid w:val="008F31BE"/>
    <w:rsid w:val="008F4E54"/>
    <w:rsid w:val="00900509"/>
    <w:rsid w:val="00933A9C"/>
    <w:rsid w:val="00956CC7"/>
    <w:rsid w:val="0097772A"/>
    <w:rsid w:val="00983134"/>
    <w:rsid w:val="00983745"/>
    <w:rsid w:val="009D0942"/>
    <w:rsid w:val="009D3ED9"/>
    <w:rsid w:val="009E12E1"/>
    <w:rsid w:val="009E4929"/>
    <w:rsid w:val="009F5322"/>
    <w:rsid w:val="009F6CDC"/>
    <w:rsid w:val="00A10673"/>
    <w:rsid w:val="00A13546"/>
    <w:rsid w:val="00A1552C"/>
    <w:rsid w:val="00A22CA5"/>
    <w:rsid w:val="00A46FB4"/>
    <w:rsid w:val="00A61DC4"/>
    <w:rsid w:val="00A63EEE"/>
    <w:rsid w:val="00A675CD"/>
    <w:rsid w:val="00A71193"/>
    <w:rsid w:val="00A72BE2"/>
    <w:rsid w:val="00A810A4"/>
    <w:rsid w:val="00A82983"/>
    <w:rsid w:val="00A940D5"/>
    <w:rsid w:val="00A96A18"/>
    <w:rsid w:val="00A96A47"/>
    <w:rsid w:val="00AA2FC2"/>
    <w:rsid w:val="00AB1C3D"/>
    <w:rsid w:val="00AB609C"/>
    <w:rsid w:val="00AC40F3"/>
    <w:rsid w:val="00AD1830"/>
    <w:rsid w:val="00AE041D"/>
    <w:rsid w:val="00B06002"/>
    <w:rsid w:val="00B21B4E"/>
    <w:rsid w:val="00B329AC"/>
    <w:rsid w:val="00B4224B"/>
    <w:rsid w:val="00B45C59"/>
    <w:rsid w:val="00B52D1A"/>
    <w:rsid w:val="00B62342"/>
    <w:rsid w:val="00B64C51"/>
    <w:rsid w:val="00B65996"/>
    <w:rsid w:val="00B72486"/>
    <w:rsid w:val="00B818B9"/>
    <w:rsid w:val="00B84C5C"/>
    <w:rsid w:val="00B86DE5"/>
    <w:rsid w:val="00B91B50"/>
    <w:rsid w:val="00B977DB"/>
    <w:rsid w:val="00BC2946"/>
    <w:rsid w:val="00BD652C"/>
    <w:rsid w:val="00BE2C89"/>
    <w:rsid w:val="00BE532B"/>
    <w:rsid w:val="00C02B81"/>
    <w:rsid w:val="00C05B52"/>
    <w:rsid w:val="00C163FA"/>
    <w:rsid w:val="00C2147A"/>
    <w:rsid w:val="00C21C8D"/>
    <w:rsid w:val="00C33AC7"/>
    <w:rsid w:val="00C34EA5"/>
    <w:rsid w:val="00C35B67"/>
    <w:rsid w:val="00C35C85"/>
    <w:rsid w:val="00C36C5A"/>
    <w:rsid w:val="00C37C01"/>
    <w:rsid w:val="00C414EF"/>
    <w:rsid w:val="00C673A6"/>
    <w:rsid w:val="00C9463B"/>
    <w:rsid w:val="00CA09C4"/>
    <w:rsid w:val="00CB5861"/>
    <w:rsid w:val="00CB5C46"/>
    <w:rsid w:val="00CB74D7"/>
    <w:rsid w:val="00CC4BAD"/>
    <w:rsid w:val="00CE514E"/>
    <w:rsid w:val="00CE6D28"/>
    <w:rsid w:val="00CF5106"/>
    <w:rsid w:val="00CF5D4B"/>
    <w:rsid w:val="00D01AC9"/>
    <w:rsid w:val="00D03979"/>
    <w:rsid w:val="00D042B8"/>
    <w:rsid w:val="00D25ED9"/>
    <w:rsid w:val="00D277B1"/>
    <w:rsid w:val="00D301BD"/>
    <w:rsid w:val="00D37BD8"/>
    <w:rsid w:val="00D4715B"/>
    <w:rsid w:val="00D56B70"/>
    <w:rsid w:val="00D60634"/>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E2777"/>
    <w:rsid w:val="00DF0B46"/>
    <w:rsid w:val="00DF5BDD"/>
    <w:rsid w:val="00DF5F61"/>
    <w:rsid w:val="00E21D6C"/>
    <w:rsid w:val="00E30CC9"/>
    <w:rsid w:val="00E34EC5"/>
    <w:rsid w:val="00E418EB"/>
    <w:rsid w:val="00E569CD"/>
    <w:rsid w:val="00E727A7"/>
    <w:rsid w:val="00E72CCA"/>
    <w:rsid w:val="00E83DB6"/>
    <w:rsid w:val="00E9248E"/>
    <w:rsid w:val="00E92965"/>
    <w:rsid w:val="00E9672C"/>
    <w:rsid w:val="00EA3573"/>
    <w:rsid w:val="00EA3DFB"/>
    <w:rsid w:val="00EA6871"/>
    <w:rsid w:val="00ED3319"/>
    <w:rsid w:val="00EE1975"/>
    <w:rsid w:val="00EE4B89"/>
    <w:rsid w:val="00EF5F14"/>
    <w:rsid w:val="00F24B6C"/>
    <w:rsid w:val="00F33528"/>
    <w:rsid w:val="00F36811"/>
    <w:rsid w:val="00F544FA"/>
    <w:rsid w:val="00F75EA0"/>
    <w:rsid w:val="00F80BD9"/>
    <w:rsid w:val="00F968DE"/>
    <w:rsid w:val="00FA4243"/>
    <w:rsid w:val="00FB043B"/>
    <w:rsid w:val="00FB0CBE"/>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7896888">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07290920">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38401687">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1792</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2017-04-24T09:17:00Z</cp:lastPrinted>
  <dcterms:created xsi:type="dcterms:W3CDTF">2017-04-25T10:15:00Z</dcterms:created>
  <dcterms:modified xsi:type="dcterms:W3CDTF">2017-04-25T10:15:00Z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00000000BC095E7D7A071E45AEB31986C17B1DABA4027400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