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8B6366" w:rsidRDefault="00CE323E" w:rsidP="005C405E">
      <w:pPr>
        <w:spacing w:line="360" w:lineRule="auto"/>
        <w:jc w:val="center"/>
        <w:rPr>
          <w:rFonts w:ascii="Arial" w:hAnsi="Arial" w:cs="Arial"/>
        </w:rPr>
      </w:pPr>
      <w:r w:rsidRPr="008B6366">
        <w:rPr>
          <w:rFonts w:ascii="Arial" w:hAnsi="Arial" w:cs="Arial"/>
          <w:noProof/>
          <w:lang w:val="en-ZA" w:eastAsia="en-ZA"/>
        </w:rPr>
        <w:drawing>
          <wp:inline distT="0" distB="0" distL="0" distR="0">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8B6366" w:rsidRDefault="00C3677B" w:rsidP="0069296A">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rsidR="00114EE5" w:rsidRPr="008B6366" w:rsidRDefault="00C3677B" w:rsidP="005C405E">
      <w:pPr>
        <w:spacing w:after="120" w:line="360" w:lineRule="auto"/>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tblPr>
      <w:tblGrid>
        <w:gridCol w:w="9350"/>
      </w:tblGrid>
      <w:tr w:rsidR="008B6366" w:rsidRPr="008B6366" w:rsidTr="005661DE">
        <w:trPr>
          <w:cnfStyle w:val="100000000000"/>
          <w:trHeight w:val="311"/>
        </w:trPr>
        <w:tc>
          <w:tcPr>
            <w:cnfStyle w:val="001000000000"/>
            <w:tcW w:w="9350" w:type="dxa"/>
            <w:tcBorders>
              <w:top w:val="single" w:sz="4" w:space="0" w:color="00B050"/>
              <w:left w:val="single" w:sz="4" w:space="0" w:color="00B050"/>
              <w:bottom w:val="single" w:sz="4" w:space="0" w:color="00B050"/>
              <w:right w:val="single" w:sz="4" w:space="0" w:color="00B050"/>
            </w:tcBorders>
            <w:vAlign w:val="bottom"/>
          </w:tcPr>
          <w:p w:rsidR="00114EE5" w:rsidRPr="008B6366" w:rsidRDefault="0069296A" w:rsidP="005661DE">
            <w:pPr>
              <w:spacing w:before="120" w:after="60" w:line="360" w:lineRule="auto"/>
              <w:jc w:val="center"/>
              <w:rPr>
                <w:rFonts w:ascii="Arial" w:hAnsi="Arial" w:cs="Arial"/>
                <w:color w:val="auto"/>
              </w:rPr>
            </w:pPr>
            <w:r w:rsidRPr="008B6366">
              <w:rPr>
                <w:rFonts w:ascii="Arial" w:hAnsi="Arial" w:cs="Arial"/>
                <w:color w:val="auto"/>
              </w:rPr>
              <w:t>MEMORANDUM FROM THE PARLIAMENTARY OFFICE</w:t>
            </w:r>
          </w:p>
        </w:tc>
      </w:tr>
    </w:tbl>
    <w:p w:rsidR="001915DA" w:rsidRPr="008B6366" w:rsidRDefault="001915DA" w:rsidP="005C405E">
      <w:pPr>
        <w:spacing w:before="240" w:line="360" w:lineRule="auto"/>
        <w:jc w:val="center"/>
        <w:rPr>
          <w:rFonts w:ascii="Arial" w:hAnsi="Arial" w:cs="Arial"/>
          <w:b/>
          <w:bCs/>
          <w:lang w:val="en-ZA"/>
        </w:rPr>
      </w:pPr>
      <w:r w:rsidRPr="008B6366">
        <w:rPr>
          <w:rFonts w:ascii="Arial" w:hAnsi="Arial" w:cs="Arial"/>
          <w:b/>
          <w:bCs/>
          <w:lang w:val="en-ZA"/>
        </w:rPr>
        <w:t>NATIONAL ASSEMBLY</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rsidR="00C3677B" w:rsidRPr="008B6366" w:rsidRDefault="00C654A2" w:rsidP="005C405E">
      <w:pPr>
        <w:spacing w:line="360" w:lineRule="auto"/>
        <w:jc w:val="center"/>
        <w:rPr>
          <w:rFonts w:ascii="Arial" w:hAnsi="Arial" w:cs="Arial"/>
          <w:b/>
          <w:bCs/>
          <w:lang w:val="en-ZA"/>
        </w:rPr>
      </w:pPr>
      <w:r w:rsidRPr="008B6366">
        <w:rPr>
          <w:rFonts w:ascii="Arial" w:hAnsi="Arial" w:cs="Arial"/>
          <w:b/>
          <w:bCs/>
          <w:lang w:val="en-ZA"/>
        </w:rPr>
        <w:t xml:space="preserve">QUESTION </w:t>
      </w:r>
      <w:r w:rsidR="00BA51B1" w:rsidRPr="008B6366">
        <w:rPr>
          <w:rFonts w:ascii="Arial" w:hAnsi="Arial" w:cs="Arial"/>
          <w:b/>
          <w:bCs/>
          <w:lang w:val="en-ZA"/>
        </w:rPr>
        <w:t>77</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8E0238" w:rsidRPr="008B6366">
        <w:rPr>
          <w:rFonts w:ascii="Arial" w:hAnsi="Arial" w:cs="Arial"/>
          <w:b/>
          <w:bCs/>
          <w:lang w:val="en-ZA"/>
        </w:rPr>
        <w:t>07</w:t>
      </w:r>
      <w:r w:rsidR="00CB1096" w:rsidRPr="008B6366">
        <w:rPr>
          <w:rFonts w:ascii="Arial" w:hAnsi="Arial" w:cs="Arial"/>
          <w:b/>
          <w:bCs/>
          <w:lang w:val="en-ZA"/>
        </w:rPr>
        <w:t>/</w:t>
      </w:r>
      <w:r w:rsidR="003D211D" w:rsidRPr="008B6366">
        <w:rPr>
          <w:rFonts w:ascii="Arial" w:hAnsi="Arial" w:cs="Arial"/>
          <w:b/>
          <w:bCs/>
          <w:lang w:val="en-ZA"/>
        </w:rPr>
        <w:t>0</w:t>
      </w:r>
      <w:r w:rsidR="006A1ADD" w:rsidRPr="008B6366">
        <w:rPr>
          <w:rFonts w:ascii="Arial" w:hAnsi="Arial" w:cs="Arial"/>
          <w:b/>
          <w:bCs/>
          <w:lang w:val="en-ZA"/>
        </w:rPr>
        <w:t>2</w:t>
      </w:r>
      <w:r w:rsidR="00CB1096" w:rsidRPr="008B6366">
        <w:rPr>
          <w:rFonts w:ascii="Arial" w:hAnsi="Arial" w:cs="Arial"/>
          <w:b/>
          <w:bCs/>
          <w:lang w:val="en-ZA"/>
        </w:rPr>
        <w:t>/</w:t>
      </w:r>
      <w:r w:rsidR="008E0238" w:rsidRPr="008B6366">
        <w:rPr>
          <w:rFonts w:ascii="Arial" w:hAnsi="Arial" w:cs="Arial"/>
          <w:b/>
          <w:bCs/>
          <w:lang w:val="en-ZA"/>
        </w:rPr>
        <w:t>2019</w:t>
      </w:r>
    </w:p>
    <w:p w:rsidR="00F177A6" w:rsidRPr="008B6366" w:rsidRDefault="009B0E09" w:rsidP="005C405E">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8E0238" w:rsidRPr="008B6366">
        <w:rPr>
          <w:rFonts w:ascii="Arial" w:hAnsi="Arial" w:cs="Arial"/>
          <w:b/>
          <w:bCs/>
          <w:lang w:val="en-ZA"/>
        </w:rPr>
        <w:t>01</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rsidR="00706CA8" w:rsidRPr="008B6366" w:rsidRDefault="006A1ADD" w:rsidP="00A375D8">
      <w:pPr>
        <w:spacing w:after="120" w:line="360" w:lineRule="auto"/>
        <w:jc w:val="both"/>
        <w:rPr>
          <w:rFonts w:ascii="Arial" w:hAnsi="Arial" w:cs="Arial"/>
          <w:b/>
          <w:noProof/>
          <w:lang w:val="af-ZA"/>
        </w:rPr>
      </w:pPr>
      <w:r w:rsidRPr="008B6366">
        <w:rPr>
          <w:rFonts w:ascii="Arial" w:hAnsi="Arial" w:cs="Arial"/>
          <w:b/>
          <w:bCs/>
          <w:lang w:val="en-ZA"/>
        </w:rPr>
        <w:t xml:space="preserve">Mr A P van der Westhuizen (DA) </w:t>
      </w:r>
      <w:r w:rsidR="002A76BD" w:rsidRPr="008B6366">
        <w:rPr>
          <w:rFonts w:ascii="Arial" w:hAnsi="Arial" w:cs="Arial"/>
          <w:b/>
          <w:noProof/>
          <w:lang w:val="af-ZA"/>
        </w:rPr>
        <w:t>to ask the Minister of Higher Education and Training:</w:t>
      </w:r>
    </w:p>
    <w:p w:rsidR="00BA51B1" w:rsidRPr="008B6366" w:rsidRDefault="00BA51B1" w:rsidP="00A375D8">
      <w:pPr>
        <w:spacing w:after="120" w:line="360" w:lineRule="auto"/>
        <w:ind w:left="567" w:hanging="567"/>
        <w:jc w:val="both"/>
        <w:rPr>
          <w:rFonts w:ascii="Arial" w:eastAsia="Cambria" w:hAnsi="Arial" w:cs="Arial"/>
        </w:rPr>
      </w:pPr>
      <w:r w:rsidRPr="008B6366">
        <w:rPr>
          <w:rFonts w:ascii="Arial" w:eastAsia="Cambria" w:hAnsi="Arial" w:cs="Arial"/>
        </w:rPr>
        <w:t>(1)</w:t>
      </w:r>
      <w:r w:rsidRPr="008B6366">
        <w:rPr>
          <w:rFonts w:ascii="Arial" w:eastAsia="Cambria" w:hAnsi="Arial" w:cs="Arial"/>
        </w:rPr>
        <w:tab/>
      </w:r>
      <w:r w:rsidRPr="00E42861">
        <w:rPr>
          <w:rFonts w:ascii="Arial" w:eastAsia="Cambria" w:hAnsi="Arial" w:cs="Arial"/>
          <w:noProof/>
        </w:rPr>
        <w:t>Whether, with reference to her reply to question 359 for oral reply on 21 November 2018, there are currently any plans in place to expand the curricula of the programmes on offer by technical and vocational education and training colleges; if not, why not; if so, (a) what are the details of the plans and (b) by what date will the new curricula be implemented;</w:t>
      </w:r>
    </w:p>
    <w:p w:rsidR="00BA51B1" w:rsidRPr="008B6366" w:rsidRDefault="00BA51B1" w:rsidP="00A375D8">
      <w:pPr>
        <w:spacing w:after="120" w:line="360" w:lineRule="auto"/>
        <w:ind w:left="567" w:hanging="567"/>
        <w:jc w:val="both"/>
        <w:rPr>
          <w:rFonts w:ascii="Arial" w:eastAsia="Cambria" w:hAnsi="Arial" w:cs="Arial"/>
        </w:rPr>
      </w:pPr>
      <w:r w:rsidRPr="008B6366">
        <w:rPr>
          <w:rFonts w:ascii="Arial" w:eastAsia="Cambria" w:hAnsi="Arial" w:cs="Arial"/>
        </w:rPr>
        <w:t>(2)</w:t>
      </w:r>
      <w:r w:rsidRPr="008B6366">
        <w:rPr>
          <w:rFonts w:ascii="Arial" w:eastAsia="Cambria" w:hAnsi="Arial" w:cs="Arial"/>
        </w:rPr>
        <w:tab/>
        <w:t>(a) which public technical and vocational education and training colleges are currently offering Mechatronics, Information Technology and Computer Science and (b) what number of students have been enrolled at each level in these programmes in 2016, 2017 and 2018;</w:t>
      </w:r>
    </w:p>
    <w:p w:rsidR="00BA51B1" w:rsidRPr="008B6366" w:rsidRDefault="00BA51B1" w:rsidP="00A375D8">
      <w:pPr>
        <w:spacing w:after="120" w:line="360" w:lineRule="auto"/>
        <w:ind w:left="567" w:hanging="567"/>
        <w:jc w:val="both"/>
        <w:rPr>
          <w:rFonts w:ascii="Arial" w:eastAsia="Cambria" w:hAnsi="Arial" w:cs="Arial"/>
        </w:rPr>
      </w:pPr>
      <w:r w:rsidRPr="008B6366">
        <w:rPr>
          <w:rFonts w:ascii="Arial" w:eastAsia="Cambria" w:hAnsi="Arial" w:cs="Arial"/>
        </w:rPr>
        <w:t>(3)</w:t>
      </w:r>
      <w:r w:rsidRPr="008B6366">
        <w:rPr>
          <w:rFonts w:ascii="Arial" w:eastAsia="Cambria" w:hAnsi="Arial" w:cs="Arial"/>
        </w:rPr>
        <w:tab/>
        <w:t>what are the reasons for the trends in student numbers in these programmes;</w:t>
      </w:r>
    </w:p>
    <w:p w:rsidR="008C3B46" w:rsidRPr="008B6366" w:rsidRDefault="00BA51B1" w:rsidP="00A375D8">
      <w:pPr>
        <w:spacing w:after="120" w:line="360" w:lineRule="auto"/>
        <w:ind w:left="567" w:hanging="567"/>
        <w:jc w:val="both"/>
        <w:rPr>
          <w:rFonts w:ascii="Arial" w:eastAsia="Cambria" w:hAnsi="Arial" w:cs="Arial"/>
        </w:rPr>
      </w:pPr>
      <w:r w:rsidRPr="008B6366">
        <w:rPr>
          <w:rFonts w:ascii="Arial" w:eastAsia="Cambria" w:hAnsi="Arial" w:cs="Arial"/>
        </w:rPr>
        <w:t>(4)</w:t>
      </w:r>
      <w:r w:rsidRPr="008B6366">
        <w:rPr>
          <w:rFonts w:ascii="Arial" w:eastAsia="Cambria" w:hAnsi="Arial" w:cs="Arial"/>
        </w:rPr>
        <w:tab/>
        <w:t>what are the admission criteria for these fields of study at public technical and vocational education and training colleges</w:t>
      </w:r>
      <w:r w:rsidR="00ED23BF" w:rsidRPr="008B6366">
        <w:rPr>
          <w:rFonts w:ascii="Arial" w:eastAsia="Cambria" w:hAnsi="Arial" w:cs="Arial"/>
        </w:rPr>
        <w:t>?</w:t>
      </w:r>
      <w:r w:rsidR="000E6BFB" w:rsidRPr="008B6366">
        <w:rPr>
          <w:rFonts w:ascii="Arial" w:eastAsia="Cambria" w:hAnsi="Arial" w:cs="Arial"/>
        </w:rPr>
        <w:tab/>
      </w:r>
    </w:p>
    <w:p w:rsidR="001915DA" w:rsidRPr="008B6366" w:rsidRDefault="00BA51B1" w:rsidP="00A375D8">
      <w:pPr>
        <w:spacing w:after="120" w:line="360" w:lineRule="auto"/>
        <w:ind w:left="567" w:firstLine="7938"/>
        <w:jc w:val="both"/>
        <w:rPr>
          <w:rFonts w:ascii="Arial" w:hAnsi="Arial" w:cs="Arial"/>
          <w:b/>
        </w:rPr>
      </w:pPr>
      <w:r w:rsidRPr="008B6366">
        <w:rPr>
          <w:rFonts w:ascii="Arial" w:hAnsi="Arial" w:cs="Arial"/>
          <w:b/>
        </w:rPr>
        <w:t>NW82</w:t>
      </w:r>
      <w:r w:rsidR="00ED23BF" w:rsidRPr="008B6366">
        <w:rPr>
          <w:rFonts w:ascii="Arial" w:hAnsi="Arial" w:cs="Arial"/>
          <w:b/>
        </w:rPr>
        <w:t>E</w:t>
      </w:r>
      <w:r w:rsidR="001915DA" w:rsidRPr="008B6366">
        <w:rPr>
          <w:rFonts w:ascii="Arial" w:hAnsi="Arial" w:cs="Arial"/>
          <w:b/>
        </w:rPr>
        <w:br w:type="page"/>
      </w:r>
    </w:p>
    <w:p w:rsidR="006913DD" w:rsidRPr="008B6366" w:rsidRDefault="002741C1" w:rsidP="006913DD">
      <w:pPr>
        <w:spacing w:after="240" w:line="360" w:lineRule="auto"/>
        <w:jc w:val="both"/>
        <w:rPr>
          <w:rFonts w:ascii="Arial" w:hAnsi="Arial" w:cs="Arial"/>
          <w:b/>
        </w:rPr>
      </w:pPr>
      <w:r w:rsidRPr="008B6366">
        <w:rPr>
          <w:rFonts w:ascii="Arial" w:hAnsi="Arial" w:cs="Arial"/>
          <w:b/>
        </w:rPr>
        <w:lastRenderedPageBreak/>
        <w:t>REPLY:</w:t>
      </w:r>
    </w:p>
    <w:p w:rsidR="006913DD" w:rsidRPr="008B6366" w:rsidRDefault="006913DD" w:rsidP="006913DD">
      <w:pPr>
        <w:pStyle w:val="ListParagraph"/>
        <w:numPr>
          <w:ilvl w:val="0"/>
          <w:numId w:val="39"/>
        </w:numPr>
        <w:tabs>
          <w:tab w:val="left" w:pos="270"/>
        </w:tabs>
        <w:spacing w:after="240" w:line="360" w:lineRule="auto"/>
        <w:ind w:left="720" w:hanging="720"/>
        <w:contextualSpacing w:val="0"/>
        <w:jc w:val="both"/>
        <w:rPr>
          <w:rFonts w:ascii="Arial" w:hAnsi="Arial" w:cs="Arial"/>
          <w:b/>
        </w:rPr>
      </w:pPr>
      <w:r w:rsidRPr="008B6366">
        <w:rPr>
          <w:rFonts w:ascii="Arial" w:hAnsi="Arial" w:cs="Arial"/>
        </w:rPr>
        <w:t>(a)</w:t>
      </w:r>
      <w:r w:rsidRPr="008B6366">
        <w:rPr>
          <w:rFonts w:ascii="Arial" w:hAnsi="Arial" w:cs="Arial"/>
        </w:rPr>
        <w:tab/>
      </w:r>
      <w:r w:rsidR="00D66D02" w:rsidRPr="008B6366">
        <w:rPr>
          <w:rFonts w:ascii="Arial" w:hAnsi="Arial" w:cs="Arial"/>
        </w:rPr>
        <w:t>The Department has started with the expansion of curricula</w:t>
      </w:r>
      <w:r w:rsidR="000A396B" w:rsidRPr="008B6366">
        <w:rPr>
          <w:rFonts w:ascii="Arial" w:hAnsi="Arial" w:cs="Arial"/>
        </w:rPr>
        <w:t xml:space="preserve"> into</w:t>
      </w:r>
      <w:r w:rsidR="00A47D57" w:rsidRPr="008B6366">
        <w:rPr>
          <w:rFonts w:ascii="Arial" w:hAnsi="Arial" w:cs="Arial"/>
        </w:rPr>
        <w:t xml:space="preserve"> </w:t>
      </w:r>
      <w:r w:rsidR="000A396B" w:rsidRPr="008B6366">
        <w:rPr>
          <w:rFonts w:ascii="Arial" w:hAnsi="Arial" w:cs="Arial"/>
        </w:rPr>
        <w:t>occupational programmes</w:t>
      </w:r>
      <w:r w:rsidR="00DF4AD6" w:rsidRPr="008B6366">
        <w:rPr>
          <w:rFonts w:ascii="Arial" w:hAnsi="Arial" w:cs="Arial"/>
        </w:rPr>
        <w:t xml:space="preserve"> in </w:t>
      </w:r>
      <w:r w:rsidR="0042491A" w:rsidRPr="008B6366">
        <w:rPr>
          <w:rFonts w:ascii="Arial" w:eastAsia="Cambria" w:hAnsi="Arial" w:cs="Arial"/>
        </w:rPr>
        <w:t>Technical and Vocational Education and Training (</w:t>
      </w:r>
      <w:r w:rsidR="00DF4AD6" w:rsidRPr="008B6366">
        <w:rPr>
          <w:rFonts w:ascii="Arial" w:hAnsi="Arial" w:cs="Arial"/>
        </w:rPr>
        <w:t>TVET</w:t>
      </w:r>
      <w:r w:rsidR="0042491A" w:rsidRPr="008B6366">
        <w:rPr>
          <w:rFonts w:ascii="Arial" w:hAnsi="Arial" w:cs="Arial"/>
        </w:rPr>
        <w:t>)</w:t>
      </w:r>
      <w:r w:rsidR="00DF4AD6" w:rsidRPr="008B6366">
        <w:rPr>
          <w:rFonts w:ascii="Arial" w:hAnsi="Arial" w:cs="Arial"/>
        </w:rPr>
        <w:t xml:space="preserve"> </w:t>
      </w:r>
      <w:r w:rsidR="000C6249" w:rsidRPr="008B6366">
        <w:rPr>
          <w:rFonts w:ascii="Arial" w:hAnsi="Arial" w:cs="Arial"/>
        </w:rPr>
        <w:t>c</w:t>
      </w:r>
      <w:r w:rsidR="00DF4AD6" w:rsidRPr="008B6366">
        <w:rPr>
          <w:rFonts w:ascii="Arial" w:hAnsi="Arial" w:cs="Arial"/>
        </w:rPr>
        <w:t>olleges</w:t>
      </w:r>
      <w:r w:rsidR="000A396B" w:rsidRPr="008B6366">
        <w:rPr>
          <w:rFonts w:ascii="Arial" w:hAnsi="Arial" w:cs="Arial"/>
        </w:rPr>
        <w:t>.</w:t>
      </w:r>
      <w:r w:rsidR="00D66D02" w:rsidRPr="008B6366">
        <w:rPr>
          <w:rFonts w:ascii="Arial" w:hAnsi="Arial" w:cs="Arial"/>
        </w:rPr>
        <w:t xml:space="preserve"> A </w:t>
      </w:r>
      <w:r w:rsidR="000A396B" w:rsidRPr="008B6366">
        <w:rPr>
          <w:rFonts w:ascii="Arial" w:hAnsi="Arial" w:cs="Arial"/>
        </w:rPr>
        <w:t>Dual</w:t>
      </w:r>
      <w:r w:rsidR="0000443F" w:rsidRPr="008B6366">
        <w:rPr>
          <w:rFonts w:ascii="Arial" w:hAnsi="Arial" w:cs="Arial"/>
        </w:rPr>
        <w:t xml:space="preserve"> System Pilot Project </w:t>
      </w:r>
      <w:r w:rsidR="00D66D02" w:rsidRPr="008B6366">
        <w:rPr>
          <w:rFonts w:ascii="Arial" w:hAnsi="Arial" w:cs="Arial"/>
        </w:rPr>
        <w:t>(DSPP)</w:t>
      </w:r>
      <w:r w:rsidR="00D66D02" w:rsidRPr="008B6366">
        <w:rPr>
          <w:rFonts w:ascii="Arial" w:hAnsi="Arial" w:cs="Arial"/>
          <w:b/>
        </w:rPr>
        <w:t xml:space="preserve"> </w:t>
      </w:r>
      <w:r w:rsidR="00D66D02" w:rsidRPr="00E42861">
        <w:rPr>
          <w:rFonts w:ascii="Arial" w:hAnsi="Arial" w:cs="Arial"/>
          <w:noProof/>
        </w:rPr>
        <w:t xml:space="preserve">is </w:t>
      </w:r>
      <w:r w:rsidR="000A396B" w:rsidRPr="00E42861">
        <w:rPr>
          <w:rFonts w:ascii="Arial" w:hAnsi="Arial" w:cs="Arial"/>
          <w:noProof/>
        </w:rPr>
        <w:t>currently delivered</w:t>
      </w:r>
      <w:r w:rsidR="000A396B" w:rsidRPr="008B6366">
        <w:rPr>
          <w:rFonts w:ascii="Arial" w:hAnsi="Arial" w:cs="Arial"/>
        </w:rPr>
        <w:t xml:space="preserve"> in two trades qua</w:t>
      </w:r>
      <w:r w:rsidR="00DB3949">
        <w:rPr>
          <w:rFonts w:ascii="Arial" w:hAnsi="Arial" w:cs="Arial"/>
        </w:rPr>
        <w:t xml:space="preserve">lifications. </w:t>
      </w:r>
      <w:r w:rsidR="00DB3949" w:rsidRPr="00E42861">
        <w:rPr>
          <w:rFonts w:ascii="Arial" w:hAnsi="Arial" w:cs="Arial"/>
          <w:noProof/>
        </w:rPr>
        <w:t>This</w:t>
      </w:r>
      <w:r w:rsidR="00DB3949">
        <w:rPr>
          <w:rFonts w:ascii="Arial" w:hAnsi="Arial" w:cs="Arial"/>
        </w:rPr>
        <w:t xml:space="preserve"> followed the</w:t>
      </w:r>
      <w:r w:rsidR="000A396B" w:rsidRPr="008B6366">
        <w:rPr>
          <w:rFonts w:ascii="Arial" w:hAnsi="Arial" w:cs="Arial"/>
        </w:rPr>
        <w:t xml:space="preserve"> approval</w:t>
      </w:r>
      <w:r w:rsidR="00D66D02" w:rsidRPr="008B6366">
        <w:rPr>
          <w:rFonts w:ascii="Arial" w:hAnsi="Arial" w:cs="Arial"/>
        </w:rPr>
        <w:t xml:space="preserve"> </w:t>
      </w:r>
      <w:r w:rsidR="00DF4AD6" w:rsidRPr="008B6366">
        <w:rPr>
          <w:rFonts w:ascii="Arial" w:hAnsi="Arial" w:cs="Arial"/>
        </w:rPr>
        <w:t xml:space="preserve">of </w:t>
      </w:r>
      <w:r w:rsidR="00D66D02" w:rsidRPr="008B6366">
        <w:rPr>
          <w:rFonts w:ascii="Arial" w:hAnsi="Arial" w:cs="Arial"/>
        </w:rPr>
        <w:t xml:space="preserve">a strategy </w:t>
      </w:r>
      <w:r w:rsidR="000A396B" w:rsidRPr="008B6366">
        <w:rPr>
          <w:rFonts w:ascii="Arial" w:hAnsi="Arial" w:cs="Arial"/>
        </w:rPr>
        <w:t>in 2016 of a</w:t>
      </w:r>
      <w:r w:rsidR="00D66D02" w:rsidRPr="008B6366">
        <w:rPr>
          <w:rFonts w:ascii="Arial" w:hAnsi="Arial" w:cs="Arial"/>
        </w:rPr>
        <w:t xml:space="preserve"> standardised approach to the implementation of </w:t>
      </w:r>
      <w:r w:rsidR="0042491A" w:rsidRPr="008B6366">
        <w:rPr>
          <w:rFonts w:ascii="Arial" w:hAnsi="Arial" w:cs="Arial"/>
        </w:rPr>
        <w:t xml:space="preserve">South African Qualifications Authority </w:t>
      </w:r>
      <w:r w:rsidR="00D66D02" w:rsidRPr="008B6366">
        <w:rPr>
          <w:rFonts w:ascii="Arial" w:hAnsi="Arial" w:cs="Arial"/>
        </w:rPr>
        <w:t>registered occupational programmes in four colleges</w:t>
      </w:r>
      <w:r w:rsidR="005F5F5D" w:rsidRPr="008B6366">
        <w:rPr>
          <w:rFonts w:ascii="Arial" w:hAnsi="Arial" w:cs="Arial"/>
        </w:rPr>
        <w:t>, a</w:t>
      </w:r>
      <w:r w:rsidR="00DF4AD6" w:rsidRPr="008B6366">
        <w:rPr>
          <w:rFonts w:ascii="Arial" w:hAnsi="Arial" w:cs="Arial"/>
        </w:rPr>
        <w:t xml:space="preserve">ligned to </w:t>
      </w:r>
      <w:r w:rsidR="00D66D02" w:rsidRPr="008B6366">
        <w:rPr>
          <w:rFonts w:ascii="Arial" w:hAnsi="Arial" w:cs="Arial"/>
        </w:rPr>
        <w:t>the dual system model.</w:t>
      </w:r>
    </w:p>
    <w:p w:rsidR="0047404F" w:rsidRPr="008B6366" w:rsidRDefault="00DF4AD6" w:rsidP="006913DD">
      <w:pPr>
        <w:pStyle w:val="ListParagraph"/>
        <w:numPr>
          <w:ilvl w:val="0"/>
          <w:numId w:val="40"/>
        </w:numPr>
        <w:spacing w:after="240" w:line="360" w:lineRule="auto"/>
        <w:ind w:left="720" w:hanging="450"/>
        <w:contextualSpacing w:val="0"/>
        <w:jc w:val="both"/>
        <w:rPr>
          <w:rFonts w:ascii="Arial" w:hAnsi="Arial" w:cs="Arial"/>
          <w:b/>
        </w:rPr>
      </w:pPr>
      <w:r w:rsidRPr="008B6366">
        <w:rPr>
          <w:rFonts w:ascii="Arial" w:hAnsi="Arial" w:cs="Arial"/>
        </w:rPr>
        <w:t>T</w:t>
      </w:r>
      <w:r w:rsidR="00D66D02" w:rsidRPr="008B6366">
        <w:rPr>
          <w:rFonts w:ascii="Arial" w:hAnsi="Arial" w:cs="Arial"/>
        </w:rPr>
        <w:t xml:space="preserve">he Department </w:t>
      </w:r>
      <w:r w:rsidRPr="008B6366">
        <w:rPr>
          <w:rFonts w:ascii="Arial" w:hAnsi="Arial" w:cs="Arial"/>
        </w:rPr>
        <w:t xml:space="preserve">has already established </w:t>
      </w:r>
      <w:r w:rsidR="000C6249" w:rsidRPr="008B6366">
        <w:rPr>
          <w:rFonts w:ascii="Arial" w:hAnsi="Arial" w:cs="Arial"/>
        </w:rPr>
        <w:t>twenty-six</w:t>
      </w:r>
      <w:r w:rsidR="00524FA8" w:rsidRPr="008B6366">
        <w:rPr>
          <w:rFonts w:ascii="Arial" w:hAnsi="Arial" w:cs="Arial"/>
        </w:rPr>
        <w:t xml:space="preserve"> </w:t>
      </w:r>
      <w:r w:rsidR="0042491A" w:rsidRPr="008B6366">
        <w:rPr>
          <w:rFonts w:ascii="Arial" w:hAnsi="Arial" w:cs="Arial"/>
        </w:rPr>
        <w:t xml:space="preserve">Centres of Specialisation </w:t>
      </w:r>
      <w:r w:rsidR="00524FA8" w:rsidRPr="008B6366">
        <w:rPr>
          <w:rFonts w:ascii="Arial" w:hAnsi="Arial" w:cs="Arial"/>
        </w:rPr>
        <w:t>in</w:t>
      </w:r>
      <w:r w:rsidR="00D66D02" w:rsidRPr="008B6366">
        <w:rPr>
          <w:rFonts w:ascii="Arial" w:hAnsi="Arial" w:cs="Arial"/>
        </w:rPr>
        <w:t xml:space="preserve"> </w:t>
      </w:r>
      <w:r w:rsidR="00A525D1" w:rsidRPr="008B6366">
        <w:rPr>
          <w:rFonts w:ascii="Arial" w:hAnsi="Arial" w:cs="Arial"/>
        </w:rPr>
        <w:t>nineteen</w:t>
      </w:r>
      <w:r w:rsidR="001B6BD6" w:rsidRPr="008B6366">
        <w:rPr>
          <w:rFonts w:ascii="Arial" w:hAnsi="Arial" w:cs="Arial"/>
        </w:rPr>
        <w:t xml:space="preserve"> TVET colleges offering </w:t>
      </w:r>
      <w:r w:rsidR="000C6249" w:rsidRPr="008B6366">
        <w:rPr>
          <w:rFonts w:ascii="Arial" w:hAnsi="Arial" w:cs="Arial"/>
        </w:rPr>
        <w:t xml:space="preserve">thirteen </w:t>
      </w:r>
      <w:r w:rsidR="0000443F" w:rsidRPr="008B6366">
        <w:rPr>
          <w:rFonts w:ascii="Arial" w:hAnsi="Arial" w:cs="Arial"/>
        </w:rPr>
        <w:t>occupation</w:t>
      </w:r>
      <w:r w:rsidR="00524FA8" w:rsidRPr="008B6366">
        <w:rPr>
          <w:rFonts w:ascii="Arial" w:hAnsi="Arial" w:cs="Arial"/>
        </w:rPr>
        <w:t>al qualifications</w:t>
      </w:r>
      <w:r w:rsidR="005F5F5D" w:rsidRPr="008B6366">
        <w:rPr>
          <w:rFonts w:ascii="Arial" w:hAnsi="Arial" w:cs="Arial"/>
        </w:rPr>
        <w:t>, which include</w:t>
      </w:r>
      <w:r w:rsidR="00DB3949">
        <w:rPr>
          <w:rFonts w:ascii="Arial" w:hAnsi="Arial" w:cs="Arial"/>
        </w:rPr>
        <w:t>s</w:t>
      </w:r>
      <w:r w:rsidRPr="008B6366">
        <w:rPr>
          <w:rFonts w:ascii="Arial" w:hAnsi="Arial" w:cs="Arial"/>
        </w:rPr>
        <w:t xml:space="preserve"> </w:t>
      </w:r>
      <w:r w:rsidR="00DB3949">
        <w:rPr>
          <w:rFonts w:ascii="Arial" w:hAnsi="Arial" w:cs="Arial"/>
        </w:rPr>
        <w:t xml:space="preserve">the </w:t>
      </w:r>
      <w:r w:rsidRPr="008B6366">
        <w:rPr>
          <w:rFonts w:ascii="Arial" w:hAnsi="Arial" w:cs="Arial"/>
        </w:rPr>
        <w:t xml:space="preserve">training of </w:t>
      </w:r>
      <w:r w:rsidR="00524FA8" w:rsidRPr="008B6366">
        <w:rPr>
          <w:rFonts w:ascii="Arial" w:hAnsi="Arial" w:cs="Arial"/>
        </w:rPr>
        <w:t>Bricklayers</w:t>
      </w:r>
      <w:r w:rsidR="0000443F" w:rsidRPr="008B6366">
        <w:rPr>
          <w:rFonts w:ascii="Arial" w:hAnsi="Arial" w:cs="Arial"/>
        </w:rPr>
        <w:t>, Electrician</w:t>
      </w:r>
      <w:r w:rsidRPr="008B6366">
        <w:rPr>
          <w:rFonts w:ascii="Arial" w:hAnsi="Arial" w:cs="Arial"/>
        </w:rPr>
        <w:t>s</w:t>
      </w:r>
      <w:r w:rsidR="0000443F" w:rsidRPr="008B6366">
        <w:rPr>
          <w:rFonts w:ascii="Arial" w:hAnsi="Arial" w:cs="Arial"/>
        </w:rPr>
        <w:t>, Millwright</w:t>
      </w:r>
      <w:r w:rsidRPr="008B6366">
        <w:rPr>
          <w:rFonts w:ascii="Arial" w:hAnsi="Arial" w:cs="Arial"/>
        </w:rPr>
        <w:t>s</w:t>
      </w:r>
      <w:r w:rsidR="0000443F" w:rsidRPr="008B6366">
        <w:rPr>
          <w:rFonts w:ascii="Arial" w:hAnsi="Arial" w:cs="Arial"/>
        </w:rPr>
        <w:t xml:space="preserve"> </w:t>
      </w:r>
      <w:r w:rsidR="00524FA8" w:rsidRPr="008B6366">
        <w:rPr>
          <w:rFonts w:ascii="Arial" w:hAnsi="Arial" w:cs="Arial"/>
        </w:rPr>
        <w:t>Boilermaker</w:t>
      </w:r>
      <w:r w:rsidRPr="008B6366">
        <w:rPr>
          <w:rFonts w:ascii="Arial" w:hAnsi="Arial" w:cs="Arial"/>
        </w:rPr>
        <w:t>s</w:t>
      </w:r>
      <w:r w:rsidR="0000443F" w:rsidRPr="008B6366">
        <w:rPr>
          <w:rFonts w:ascii="Arial" w:hAnsi="Arial" w:cs="Arial"/>
        </w:rPr>
        <w:t>, Fitter</w:t>
      </w:r>
      <w:r w:rsidRPr="008B6366">
        <w:rPr>
          <w:rFonts w:ascii="Arial" w:hAnsi="Arial" w:cs="Arial"/>
        </w:rPr>
        <w:t>s</w:t>
      </w:r>
      <w:r w:rsidR="0000443F" w:rsidRPr="008B6366">
        <w:rPr>
          <w:rFonts w:ascii="Arial" w:hAnsi="Arial" w:cs="Arial"/>
        </w:rPr>
        <w:t xml:space="preserve"> and </w:t>
      </w:r>
      <w:r w:rsidR="00524FA8" w:rsidRPr="008B6366">
        <w:rPr>
          <w:rFonts w:ascii="Arial" w:hAnsi="Arial" w:cs="Arial"/>
        </w:rPr>
        <w:t>Welder</w:t>
      </w:r>
      <w:r w:rsidRPr="008B6366">
        <w:rPr>
          <w:rFonts w:ascii="Arial" w:hAnsi="Arial" w:cs="Arial"/>
        </w:rPr>
        <w:t xml:space="preserve">s, </w:t>
      </w:r>
      <w:r w:rsidR="0000443F" w:rsidRPr="008B6366">
        <w:rPr>
          <w:rFonts w:ascii="Arial" w:hAnsi="Arial" w:cs="Arial"/>
        </w:rPr>
        <w:t>amongst them.</w:t>
      </w:r>
      <w:r w:rsidR="005C5A52" w:rsidRPr="008B6366">
        <w:rPr>
          <w:rFonts w:ascii="Arial" w:hAnsi="Arial" w:cs="Arial"/>
        </w:rPr>
        <w:t xml:space="preserve"> The</w:t>
      </w:r>
      <w:r w:rsidR="005F5F5D" w:rsidRPr="008B6366">
        <w:rPr>
          <w:rFonts w:ascii="Arial" w:hAnsi="Arial" w:cs="Arial"/>
        </w:rPr>
        <w:t>se</w:t>
      </w:r>
      <w:r w:rsidR="005C5A52" w:rsidRPr="008B6366">
        <w:rPr>
          <w:rFonts w:ascii="Arial" w:hAnsi="Arial" w:cs="Arial"/>
        </w:rPr>
        <w:t xml:space="preserve"> occupational programm</w:t>
      </w:r>
      <w:r w:rsidR="00A525D1" w:rsidRPr="008B6366">
        <w:rPr>
          <w:rFonts w:ascii="Arial" w:hAnsi="Arial" w:cs="Arial"/>
        </w:rPr>
        <w:t>es are now on the register of nationally</w:t>
      </w:r>
      <w:r w:rsidR="005C5A52" w:rsidRPr="008B6366">
        <w:rPr>
          <w:rFonts w:ascii="Arial" w:hAnsi="Arial" w:cs="Arial"/>
        </w:rPr>
        <w:t xml:space="preserve"> approved TVET programmes</w:t>
      </w:r>
      <w:r w:rsidR="005F5F5D" w:rsidRPr="008B6366">
        <w:rPr>
          <w:rFonts w:ascii="Arial" w:hAnsi="Arial" w:cs="Arial"/>
        </w:rPr>
        <w:t xml:space="preserve">, which means they are funded through the conditional </w:t>
      </w:r>
      <w:r w:rsidR="005F5F5D" w:rsidRPr="00E42861">
        <w:rPr>
          <w:rFonts w:ascii="Arial" w:hAnsi="Arial" w:cs="Arial"/>
          <w:noProof/>
        </w:rPr>
        <w:t>grant</w:t>
      </w:r>
      <w:r w:rsidR="005F5F5D" w:rsidRPr="008B6366">
        <w:rPr>
          <w:rFonts w:ascii="Arial" w:hAnsi="Arial" w:cs="Arial"/>
        </w:rPr>
        <w:t xml:space="preserve"> </w:t>
      </w:r>
      <w:r w:rsidR="008E7212" w:rsidRPr="008B6366">
        <w:rPr>
          <w:rFonts w:ascii="Arial" w:hAnsi="Arial" w:cs="Arial"/>
        </w:rPr>
        <w:t xml:space="preserve">and will </w:t>
      </w:r>
      <w:r w:rsidR="008E7212" w:rsidRPr="00E42861">
        <w:rPr>
          <w:rFonts w:ascii="Arial" w:hAnsi="Arial" w:cs="Arial"/>
          <w:noProof/>
        </w:rPr>
        <w:t>be offered</w:t>
      </w:r>
      <w:r w:rsidR="008E7212" w:rsidRPr="008B6366">
        <w:rPr>
          <w:rFonts w:ascii="Arial" w:hAnsi="Arial" w:cs="Arial"/>
        </w:rPr>
        <w:t xml:space="preserve"> from 2019 onwards</w:t>
      </w:r>
      <w:r w:rsidR="005C5A52" w:rsidRPr="008B6366">
        <w:rPr>
          <w:rFonts w:ascii="Arial" w:hAnsi="Arial" w:cs="Arial"/>
        </w:rPr>
        <w:t>.</w:t>
      </w:r>
      <w:r w:rsidR="0000443F" w:rsidRPr="008B6366">
        <w:rPr>
          <w:rFonts w:ascii="Arial" w:hAnsi="Arial" w:cs="Arial"/>
        </w:rPr>
        <w:t xml:space="preserve"> The expansion into occupational programmes will be phased </w:t>
      </w:r>
      <w:r w:rsidR="008E7212" w:rsidRPr="008B6366">
        <w:rPr>
          <w:rFonts w:ascii="Arial" w:hAnsi="Arial" w:cs="Arial"/>
        </w:rPr>
        <w:t>in</w:t>
      </w:r>
      <w:r w:rsidR="00DB3949">
        <w:rPr>
          <w:rFonts w:ascii="Arial" w:hAnsi="Arial" w:cs="Arial"/>
        </w:rPr>
        <w:t xml:space="preserve"> over the next five-</w:t>
      </w:r>
      <w:r w:rsidR="005F5F5D" w:rsidRPr="008B6366">
        <w:rPr>
          <w:rFonts w:ascii="Arial" w:hAnsi="Arial" w:cs="Arial"/>
        </w:rPr>
        <w:t>year</w:t>
      </w:r>
      <w:r w:rsidR="00DB3949">
        <w:rPr>
          <w:rFonts w:ascii="Arial" w:hAnsi="Arial" w:cs="Arial"/>
        </w:rPr>
        <w:t>s</w:t>
      </w:r>
      <w:r w:rsidR="008E7212" w:rsidRPr="008B6366">
        <w:rPr>
          <w:rFonts w:ascii="Arial" w:hAnsi="Arial" w:cs="Arial"/>
        </w:rPr>
        <w:t xml:space="preserve"> taking</w:t>
      </w:r>
      <w:r w:rsidR="0000443F" w:rsidRPr="008B6366">
        <w:rPr>
          <w:rFonts w:ascii="Arial" w:hAnsi="Arial" w:cs="Arial"/>
        </w:rPr>
        <w:t xml:space="preserve"> into consideration </w:t>
      </w:r>
      <w:r w:rsidR="00067D0F" w:rsidRPr="008B6366">
        <w:rPr>
          <w:rFonts w:ascii="Arial" w:hAnsi="Arial" w:cs="Arial"/>
        </w:rPr>
        <w:t>the infrastructure</w:t>
      </w:r>
      <w:r w:rsidR="005F5F5D" w:rsidRPr="008B6366">
        <w:rPr>
          <w:rFonts w:ascii="Arial" w:hAnsi="Arial" w:cs="Arial"/>
        </w:rPr>
        <w:t>,</w:t>
      </w:r>
      <w:r w:rsidR="0000443F" w:rsidRPr="008B6366">
        <w:rPr>
          <w:rFonts w:ascii="Arial" w:hAnsi="Arial" w:cs="Arial"/>
        </w:rPr>
        <w:t xml:space="preserve"> </w:t>
      </w:r>
      <w:r w:rsidR="008E7212" w:rsidRPr="008B6366">
        <w:rPr>
          <w:rFonts w:ascii="Arial" w:hAnsi="Arial" w:cs="Arial"/>
        </w:rPr>
        <w:t>plant</w:t>
      </w:r>
      <w:r w:rsidR="005F5F5D" w:rsidRPr="008B6366">
        <w:rPr>
          <w:rFonts w:ascii="Arial" w:hAnsi="Arial" w:cs="Arial"/>
        </w:rPr>
        <w:t xml:space="preserve">, </w:t>
      </w:r>
      <w:r w:rsidR="008E7212" w:rsidRPr="008B6366">
        <w:rPr>
          <w:rFonts w:ascii="Arial" w:hAnsi="Arial" w:cs="Arial"/>
        </w:rPr>
        <w:t xml:space="preserve">equipment </w:t>
      </w:r>
      <w:r w:rsidR="005F5F5D" w:rsidRPr="008B6366">
        <w:rPr>
          <w:rFonts w:ascii="Arial" w:hAnsi="Arial" w:cs="Arial"/>
        </w:rPr>
        <w:t xml:space="preserve">and specialised human resources </w:t>
      </w:r>
      <w:r w:rsidR="008E7212" w:rsidRPr="008B6366">
        <w:rPr>
          <w:rFonts w:ascii="Arial" w:hAnsi="Arial" w:cs="Arial"/>
        </w:rPr>
        <w:t>required to deliver these in college</w:t>
      </w:r>
      <w:r w:rsidR="005F5F5D" w:rsidRPr="008B6366">
        <w:rPr>
          <w:rFonts w:ascii="Arial" w:hAnsi="Arial" w:cs="Arial"/>
        </w:rPr>
        <w:t xml:space="preserve">s. </w:t>
      </w:r>
    </w:p>
    <w:p w:rsidR="00067D0F" w:rsidRPr="008B6366" w:rsidRDefault="0004337D" w:rsidP="006913DD">
      <w:pPr>
        <w:pStyle w:val="ListParagraph"/>
        <w:numPr>
          <w:ilvl w:val="0"/>
          <w:numId w:val="39"/>
        </w:numPr>
        <w:tabs>
          <w:tab w:val="left" w:pos="270"/>
        </w:tabs>
        <w:spacing w:after="240" w:line="360" w:lineRule="auto"/>
        <w:ind w:left="720" w:hanging="720"/>
        <w:contextualSpacing w:val="0"/>
        <w:jc w:val="both"/>
        <w:rPr>
          <w:rFonts w:ascii="Arial" w:hAnsi="Arial" w:cs="Arial"/>
        </w:rPr>
      </w:pPr>
      <w:r w:rsidRPr="008B6366">
        <w:rPr>
          <w:rFonts w:ascii="Arial" w:hAnsi="Arial" w:cs="Arial"/>
        </w:rPr>
        <w:t>(a)</w:t>
      </w:r>
      <w:r w:rsidR="006913DD" w:rsidRPr="008B6366">
        <w:rPr>
          <w:rFonts w:ascii="Arial" w:hAnsi="Arial" w:cs="Arial"/>
          <w:b/>
        </w:rPr>
        <w:tab/>
      </w:r>
      <w:r w:rsidR="002741C1" w:rsidRPr="008B6366">
        <w:rPr>
          <w:rFonts w:ascii="Arial" w:hAnsi="Arial" w:cs="Arial"/>
        </w:rPr>
        <w:t>Me</w:t>
      </w:r>
      <w:r w:rsidR="000C6249" w:rsidRPr="008B6366">
        <w:rPr>
          <w:rFonts w:ascii="Arial" w:hAnsi="Arial" w:cs="Arial"/>
        </w:rPr>
        <w:t xml:space="preserve">chatronics </w:t>
      </w:r>
      <w:r w:rsidR="000C6249" w:rsidRPr="00E42861">
        <w:rPr>
          <w:rFonts w:ascii="Arial" w:hAnsi="Arial" w:cs="Arial"/>
          <w:noProof/>
        </w:rPr>
        <w:t>is offered</w:t>
      </w:r>
      <w:r w:rsidR="000C6249" w:rsidRPr="008B6366">
        <w:rPr>
          <w:rFonts w:ascii="Arial" w:hAnsi="Arial" w:cs="Arial"/>
        </w:rPr>
        <w:t xml:space="preserve"> at seven </w:t>
      </w:r>
      <w:r w:rsidR="002741C1" w:rsidRPr="008B6366">
        <w:rPr>
          <w:rFonts w:ascii="Arial" w:hAnsi="Arial" w:cs="Arial"/>
        </w:rPr>
        <w:t>TVET colleges</w:t>
      </w:r>
      <w:r w:rsidR="00067D0F" w:rsidRPr="008B6366">
        <w:rPr>
          <w:rFonts w:ascii="Arial" w:hAnsi="Arial" w:cs="Arial"/>
        </w:rPr>
        <w:t xml:space="preserve"> namely</w:t>
      </w:r>
      <w:r w:rsidR="002741C1" w:rsidRPr="008B6366">
        <w:rPr>
          <w:rFonts w:ascii="Arial" w:hAnsi="Arial" w:cs="Arial"/>
        </w:rPr>
        <w:t xml:space="preserve">, Buffalo City, Capricorn, Ekurhuleni West, False Bay, Gert Sibande, Port Elizabeth </w:t>
      </w:r>
      <w:r w:rsidR="00067D0F" w:rsidRPr="008B6366">
        <w:rPr>
          <w:rFonts w:ascii="Arial" w:hAnsi="Arial" w:cs="Arial"/>
        </w:rPr>
        <w:t>a</w:t>
      </w:r>
      <w:r w:rsidR="0047404F" w:rsidRPr="008B6366">
        <w:rPr>
          <w:rFonts w:ascii="Arial" w:hAnsi="Arial" w:cs="Arial"/>
        </w:rPr>
        <w:t>nd Sedibeng</w:t>
      </w:r>
      <w:r w:rsidR="005F5F5D" w:rsidRPr="008B6366">
        <w:rPr>
          <w:rFonts w:ascii="Arial" w:hAnsi="Arial" w:cs="Arial"/>
        </w:rPr>
        <w:t xml:space="preserve">. The </w:t>
      </w:r>
      <w:r w:rsidR="0000443F" w:rsidRPr="008B6366">
        <w:rPr>
          <w:rFonts w:ascii="Arial" w:hAnsi="Arial" w:cs="Arial"/>
        </w:rPr>
        <w:t>Information T</w:t>
      </w:r>
      <w:r w:rsidR="0047404F" w:rsidRPr="008B6366">
        <w:rPr>
          <w:rFonts w:ascii="Arial" w:hAnsi="Arial" w:cs="Arial"/>
        </w:rPr>
        <w:t>echnology and Computer Science</w:t>
      </w:r>
      <w:r w:rsidR="000C6249" w:rsidRPr="008B6366">
        <w:rPr>
          <w:rFonts w:ascii="Arial" w:hAnsi="Arial" w:cs="Arial"/>
        </w:rPr>
        <w:t xml:space="preserve"> (</w:t>
      </w:r>
      <w:r w:rsidR="000C6249" w:rsidRPr="008B6366">
        <w:rPr>
          <w:rFonts w:ascii="Arial" w:hAnsi="Arial" w:cs="Arial"/>
          <w:bCs/>
          <w:lang w:val="en-ZA"/>
        </w:rPr>
        <w:t>IT&amp;CS)</w:t>
      </w:r>
      <w:r w:rsidR="0047404F" w:rsidRPr="008B6366">
        <w:rPr>
          <w:rFonts w:ascii="Arial" w:hAnsi="Arial" w:cs="Arial"/>
        </w:rPr>
        <w:t xml:space="preserve"> </w:t>
      </w:r>
      <w:r w:rsidR="005F5F5D" w:rsidRPr="008B6366">
        <w:rPr>
          <w:rFonts w:ascii="Arial" w:hAnsi="Arial" w:cs="Arial"/>
        </w:rPr>
        <w:t xml:space="preserve">programme </w:t>
      </w:r>
      <w:r w:rsidR="00E42861" w:rsidRPr="00E42861">
        <w:rPr>
          <w:rFonts w:ascii="Arial" w:hAnsi="Arial" w:cs="Arial"/>
          <w:noProof/>
        </w:rPr>
        <w:t>are</w:t>
      </w:r>
      <w:r w:rsidR="0047404F" w:rsidRPr="00E42861">
        <w:rPr>
          <w:rFonts w:ascii="Arial" w:hAnsi="Arial" w:cs="Arial"/>
          <w:noProof/>
        </w:rPr>
        <w:t xml:space="preserve"> offered</w:t>
      </w:r>
      <w:r w:rsidR="0047404F" w:rsidRPr="008B6366">
        <w:rPr>
          <w:rFonts w:ascii="Arial" w:hAnsi="Arial" w:cs="Arial"/>
        </w:rPr>
        <w:t xml:space="preserve"> </w:t>
      </w:r>
      <w:r w:rsidR="005F5F5D" w:rsidRPr="008B6366">
        <w:rPr>
          <w:rFonts w:ascii="Arial" w:hAnsi="Arial" w:cs="Arial"/>
        </w:rPr>
        <w:t>in</w:t>
      </w:r>
      <w:r w:rsidR="0047404F" w:rsidRPr="008B6366">
        <w:rPr>
          <w:rFonts w:ascii="Arial" w:hAnsi="Arial" w:cs="Arial"/>
        </w:rPr>
        <w:t xml:space="preserve"> </w:t>
      </w:r>
      <w:r w:rsidR="006D2A6F" w:rsidRPr="008B6366">
        <w:rPr>
          <w:rFonts w:ascii="Arial" w:hAnsi="Arial" w:cs="Arial"/>
        </w:rPr>
        <w:t>thirty-three</w:t>
      </w:r>
      <w:r w:rsidR="00524FA8" w:rsidRPr="008B6366">
        <w:rPr>
          <w:rFonts w:ascii="Arial" w:hAnsi="Arial" w:cs="Arial"/>
        </w:rPr>
        <w:t xml:space="preserve"> </w:t>
      </w:r>
      <w:r w:rsidR="00067D0F" w:rsidRPr="008B6366">
        <w:rPr>
          <w:rFonts w:ascii="Arial" w:hAnsi="Arial" w:cs="Arial"/>
        </w:rPr>
        <w:t xml:space="preserve">TVET </w:t>
      </w:r>
      <w:r w:rsidR="000C6249" w:rsidRPr="008B6366">
        <w:rPr>
          <w:rFonts w:ascii="Arial" w:hAnsi="Arial" w:cs="Arial"/>
        </w:rPr>
        <w:t>c</w:t>
      </w:r>
      <w:r w:rsidR="00DB3949">
        <w:rPr>
          <w:rFonts w:ascii="Arial" w:hAnsi="Arial" w:cs="Arial"/>
        </w:rPr>
        <w:t>olleges</w:t>
      </w:r>
      <w:r w:rsidR="00067D0F" w:rsidRPr="008B6366">
        <w:rPr>
          <w:rFonts w:ascii="Arial" w:hAnsi="Arial" w:cs="Arial"/>
        </w:rPr>
        <w:t>.</w:t>
      </w:r>
    </w:p>
    <w:p w:rsidR="002741C1" w:rsidRPr="008B6366" w:rsidRDefault="005F5F5D" w:rsidP="006913DD">
      <w:pPr>
        <w:pStyle w:val="ListParagraph"/>
        <w:numPr>
          <w:ilvl w:val="0"/>
          <w:numId w:val="41"/>
        </w:numPr>
        <w:spacing w:after="240" w:line="360" w:lineRule="auto"/>
        <w:ind w:left="720" w:hanging="450"/>
        <w:contextualSpacing w:val="0"/>
        <w:jc w:val="both"/>
        <w:rPr>
          <w:rFonts w:ascii="Arial" w:hAnsi="Arial" w:cs="Arial"/>
        </w:rPr>
      </w:pPr>
      <w:r w:rsidRPr="008B6366">
        <w:rPr>
          <w:rFonts w:ascii="Arial" w:hAnsi="Arial" w:cs="Arial"/>
        </w:rPr>
        <w:t>The table below</w:t>
      </w:r>
      <w:r w:rsidRPr="008B6366">
        <w:rPr>
          <w:rFonts w:ascii="Arial" w:hAnsi="Arial" w:cs="Arial"/>
          <w:b/>
        </w:rPr>
        <w:t xml:space="preserve"> </w:t>
      </w:r>
      <w:r w:rsidRPr="008B6366">
        <w:rPr>
          <w:rFonts w:ascii="Arial" w:hAnsi="Arial" w:cs="Arial"/>
        </w:rPr>
        <w:t>indicates the</w:t>
      </w:r>
      <w:r w:rsidRPr="008B6366">
        <w:rPr>
          <w:rFonts w:ascii="Arial" w:hAnsi="Arial" w:cs="Arial"/>
          <w:b/>
        </w:rPr>
        <w:t xml:space="preserve"> </w:t>
      </w:r>
      <w:r w:rsidRPr="008B6366">
        <w:rPr>
          <w:rFonts w:ascii="Arial" w:hAnsi="Arial" w:cs="Arial"/>
        </w:rPr>
        <w:t>e</w:t>
      </w:r>
      <w:r w:rsidR="00067D0F" w:rsidRPr="008B6366">
        <w:rPr>
          <w:rFonts w:ascii="Arial" w:hAnsi="Arial" w:cs="Arial"/>
        </w:rPr>
        <w:t xml:space="preserve">nrolments in </w:t>
      </w:r>
      <w:r w:rsidRPr="008B6366">
        <w:rPr>
          <w:rFonts w:ascii="Arial" w:hAnsi="Arial" w:cs="Arial"/>
        </w:rPr>
        <w:t xml:space="preserve">the </w:t>
      </w:r>
      <w:r w:rsidR="00067D0F" w:rsidRPr="008B6366">
        <w:rPr>
          <w:rFonts w:ascii="Arial" w:hAnsi="Arial" w:cs="Arial"/>
        </w:rPr>
        <w:t xml:space="preserve">Mechatronics and Information Technology and Computer Science </w:t>
      </w:r>
      <w:r w:rsidRPr="008B6366">
        <w:rPr>
          <w:rFonts w:ascii="Arial" w:hAnsi="Arial" w:cs="Arial"/>
        </w:rPr>
        <w:t xml:space="preserve">programmes </w:t>
      </w:r>
      <w:r w:rsidR="000C6249" w:rsidRPr="008B6366">
        <w:rPr>
          <w:rFonts w:ascii="Arial" w:hAnsi="Arial" w:cs="Arial"/>
        </w:rPr>
        <w:t xml:space="preserve">from 2016 to </w:t>
      </w:r>
      <w:r w:rsidR="00067D0F" w:rsidRPr="008B6366">
        <w:rPr>
          <w:rFonts w:ascii="Arial" w:hAnsi="Arial" w:cs="Arial"/>
        </w:rPr>
        <w:t>2018</w:t>
      </w:r>
      <w:r w:rsidR="000C6249" w:rsidRPr="008B6366">
        <w:rPr>
          <w:rFonts w:ascii="Arial" w:hAnsi="Arial" w:cs="Arial"/>
        </w:rPr>
        <w:t>:</w:t>
      </w:r>
    </w:p>
    <w:tbl>
      <w:tblPr>
        <w:tblStyle w:val="TableGrid"/>
        <w:tblW w:w="0" w:type="auto"/>
        <w:tblInd w:w="715" w:type="dxa"/>
        <w:tblLook w:val="04A0"/>
      </w:tblPr>
      <w:tblGrid>
        <w:gridCol w:w="2070"/>
        <w:gridCol w:w="1026"/>
        <w:gridCol w:w="954"/>
        <w:gridCol w:w="900"/>
      </w:tblGrid>
      <w:tr w:rsidR="00DB3949" w:rsidRPr="008B6366" w:rsidTr="00DB3949">
        <w:trPr>
          <w:trHeight w:val="300"/>
        </w:trPr>
        <w:tc>
          <w:tcPr>
            <w:tcW w:w="2070" w:type="dxa"/>
            <w:noWrap/>
            <w:hideMark/>
          </w:tcPr>
          <w:p w:rsidR="00DB3949" w:rsidRPr="008B6366" w:rsidRDefault="00DB3949" w:rsidP="006913DD">
            <w:pPr>
              <w:spacing w:before="60" w:after="60" w:line="240" w:lineRule="auto"/>
              <w:jc w:val="both"/>
              <w:rPr>
                <w:rFonts w:ascii="Arial" w:hAnsi="Arial" w:cs="Arial"/>
                <w:b/>
                <w:bCs/>
                <w:lang w:val="en-ZA"/>
              </w:rPr>
            </w:pPr>
            <w:r w:rsidRPr="008B6366">
              <w:rPr>
                <w:rFonts w:ascii="Arial" w:hAnsi="Arial" w:cs="Arial"/>
                <w:b/>
                <w:bCs/>
                <w:lang w:val="en-ZA"/>
              </w:rPr>
              <w:t>Programme</w:t>
            </w:r>
          </w:p>
        </w:tc>
        <w:tc>
          <w:tcPr>
            <w:tcW w:w="1026" w:type="dxa"/>
            <w:noWrap/>
            <w:hideMark/>
          </w:tcPr>
          <w:p w:rsidR="00DB3949" w:rsidRPr="008B6366" w:rsidRDefault="00DB3949" w:rsidP="006913DD">
            <w:pPr>
              <w:spacing w:before="60" w:after="60" w:line="240" w:lineRule="auto"/>
              <w:jc w:val="center"/>
              <w:rPr>
                <w:rFonts w:ascii="Arial" w:hAnsi="Arial" w:cs="Arial"/>
                <w:b/>
                <w:bCs/>
                <w:lang w:val="en-US"/>
              </w:rPr>
            </w:pPr>
            <w:r w:rsidRPr="008B6366">
              <w:rPr>
                <w:rFonts w:ascii="Arial" w:hAnsi="Arial" w:cs="Arial"/>
                <w:b/>
                <w:bCs/>
                <w:lang w:val="en-ZA"/>
              </w:rPr>
              <w:t>2016</w:t>
            </w:r>
          </w:p>
        </w:tc>
        <w:tc>
          <w:tcPr>
            <w:tcW w:w="954" w:type="dxa"/>
            <w:noWrap/>
            <w:hideMark/>
          </w:tcPr>
          <w:p w:rsidR="00DB3949" w:rsidRPr="008B6366" w:rsidRDefault="00DB3949" w:rsidP="006913DD">
            <w:pPr>
              <w:spacing w:before="60" w:after="60" w:line="240" w:lineRule="auto"/>
              <w:jc w:val="center"/>
              <w:rPr>
                <w:rFonts w:ascii="Arial" w:hAnsi="Arial" w:cs="Arial"/>
                <w:b/>
                <w:bCs/>
                <w:lang w:val="en-ZA"/>
              </w:rPr>
            </w:pPr>
            <w:r w:rsidRPr="008B6366">
              <w:rPr>
                <w:rFonts w:ascii="Arial" w:hAnsi="Arial" w:cs="Arial"/>
                <w:b/>
                <w:bCs/>
                <w:lang w:val="en-ZA"/>
              </w:rPr>
              <w:t>2017</w:t>
            </w:r>
          </w:p>
        </w:tc>
        <w:tc>
          <w:tcPr>
            <w:tcW w:w="900" w:type="dxa"/>
            <w:noWrap/>
            <w:hideMark/>
          </w:tcPr>
          <w:p w:rsidR="00DB3949" w:rsidRPr="008B6366" w:rsidRDefault="00DB3949" w:rsidP="006913DD">
            <w:pPr>
              <w:spacing w:before="60" w:after="60" w:line="240" w:lineRule="auto"/>
              <w:jc w:val="center"/>
              <w:rPr>
                <w:rFonts w:ascii="Arial" w:hAnsi="Arial" w:cs="Arial"/>
                <w:b/>
                <w:bCs/>
                <w:lang w:val="en-ZA"/>
              </w:rPr>
            </w:pPr>
            <w:r w:rsidRPr="008B6366">
              <w:rPr>
                <w:rFonts w:ascii="Arial" w:hAnsi="Arial" w:cs="Arial"/>
                <w:b/>
                <w:bCs/>
                <w:lang w:val="en-ZA"/>
              </w:rPr>
              <w:t>2018</w:t>
            </w:r>
          </w:p>
        </w:tc>
      </w:tr>
      <w:tr w:rsidR="00DB3949" w:rsidRPr="008B6366" w:rsidTr="00DB3949">
        <w:trPr>
          <w:trHeight w:val="300"/>
        </w:trPr>
        <w:tc>
          <w:tcPr>
            <w:tcW w:w="2070" w:type="dxa"/>
            <w:noWrap/>
            <w:hideMark/>
          </w:tcPr>
          <w:p w:rsidR="00DB3949" w:rsidRPr="008B6366" w:rsidRDefault="00DB3949" w:rsidP="006913DD">
            <w:pPr>
              <w:spacing w:before="60" w:after="60" w:line="240" w:lineRule="auto"/>
              <w:jc w:val="both"/>
              <w:rPr>
                <w:rFonts w:ascii="Arial" w:hAnsi="Arial" w:cs="Arial"/>
                <w:bCs/>
                <w:lang w:val="en-ZA"/>
              </w:rPr>
            </w:pPr>
            <w:r w:rsidRPr="008B6366">
              <w:rPr>
                <w:rFonts w:ascii="Arial" w:hAnsi="Arial" w:cs="Arial"/>
                <w:bCs/>
                <w:lang w:val="en-ZA"/>
              </w:rPr>
              <w:t>Mechatronics</w:t>
            </w:r>
          </w:p>
        </w:tc>
        <w:tc>
          <w:tcPr>
            <w:tcW w:w="1026"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1</w:t>
            </w:r>
            <w:r>
              <w:rPr>
                <w:rFonts w:ascii="Arial" w:hAnsi="Arial" w:cs="Arial"/>
                <w:bCs/>
                <w:lang w:val="en-ZA"/>
              </w:rPr>
              <w:t xml:space="preserve"> </w:t>
            </w:r>
            <w:r w:rsidRPr="008B6366">
              <w:rPr>
                <w:rFonts w:ascii="Arial" w:hAnsi="Arial" w:cs="Arial"/>
                <w:bCs/>
                <w:lang w:val="en-ZA"/>
              </w:rPr>
              <w:t>112</w:t>
            </w:r>
          </w:p>
        </w:tc>
        <w:tc>
          <w:tcPr>
            <w:tcW w:w="954"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1</w:t>
            </w:r>
            <w:r>
              <w:rPr>
                <w:rFonts w:ascii="Arial" w:hAnsi="Arial" w:cs="Arial"/>
                <w:bCs/>
                <w:lang w:val="en-ZA"/>
              </w:rPr>
              <w:t xml:space="preserve"> </w:t>
            </w:r>
            <w:r w:rsidRPr="008B6366">
              <w:rPr>
                <w:rFonts w:ascii="Arial" w:hAnsi="Arial" w:cs="Arial"/>
                <w:bCs/>
                <w:lang w:val="en-ZA"/>
              </w:rPr>
              <w:t>212</w:t>
            </w:r>
          </w:p>
        </w:tc>
        <w:tc>
          <w:tcPr>
            <w:tcW w:w="900"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1</w:t>
            </w:r>
            <w:r>
              <w:rPr>
                <w:rFonts w:ascii="Arial" w:hAnsi="Arial" w:cs="Arial"/>
                <w:bCs/>
                <w:lang w:val="en-ZA"/>
              </w:rPr>
              <w:t xml:space="preserve"> </w:t>
            </w:r>
            <w:r w:rsidRPr="008B6366">
              <w:rPr>
                <w:rFonts w:ascii="Arial" w:hAnsi="Arial" w:cs="Arial"/>
                <w:bCs/>
                <w:lang w:val="en-ZA"/>
              </w:rPr>
              <w:t>021</w:t>
            </w:r>
          </w:p>
        </w:tc>
      </w:tr>
      <w:tr w:rsidR="00DB3949" w:rsidRPr="008B6366" w:rsidTr="00DB3949">
        <w:trPr>
          <w:trHeight w:val="300"/>
        </w:trPr>
        <w:tc>
          <w:tcPr>
            <w:tcW w:w="2070" w:type="dxa"/>
            <w:noWrap/>
            <w:hideMark/>
          </w:tcPr>
          <w:p w:rsidR="00DB3949" w:rsidRPr="008B6366" w:rsidRDefault="00DB3949" w:rsidP="006913DD">
            <w:pPr>
              <w:spacing w:before="60" w:after="60" w:line="240" w:lineRule="auto"/>
              <w:jc w:val="both"/>
              <w:rPr>
                <w:rFonts w:ascii="Arial" w:hAnsi="Arial" w:cs="Arial"/>
                <w:bCs/>
                <w:lang w:val="en-ZA"/>
              </w:rPr>
            </w:pPr>
            <w:r w:rsidRPr="008B6366">
              <w:rPr>
                <w:rFonts w:ascii="Arial" w:hAnsi="Arial" w:cs="Arial"/>
                <w:bCs/>
                <w:lang w:val="en-ZA"/>
              </w:rPr>
              <w:t>IT&amp;CS</w:t>
            </w:r>
          </w:p>
        </w:tc>
        <w:tc>
          <w:tcPr>
            <w:tcW w:w="1026"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9</w:t>
            </w:r>
            <w:r>
              <w:rPr>
                <w:rFonts w:ascii="Arial" w:hAnsi="Arial" w:cs="Arial"/>
                <w:bCs/>
                <w:lang w:val="en-ZA"/>
              </w:rPr>
              <w:t xml:space="preserve"> </w:t>
            </w:r>
            <w:r w:rsidRPr="008B6366">
              <w:rPr>
                <w:rFonts w:ascii="Arial" w:hAnsi="Arial" w:cs="Arial"/>
                <w:bCs/>
                <w:lang w:val="en-ZA"/>
              </w:rPr>
              <w:t>298</w:t>
            </w:r>
          </w:p>
        </w:tc>
        <w:tc>
          <w:tcPr>
            <w:tcW w:w="954"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8</w:t>
            </w:r>
            <w:r>
              <w:rPr>
                <w:rFonts w:ascii="Arial" w:hAnsi="Arial" w:cs="Arial"/>
                <w:bCs/>
                <w:lang w:val="en-ZA"/>
              </w:rPr>
              <w:t xml:space="preserve"> </w:t>
            </w:r>
            <w:r w:rsidRPr="008B6366">
              <w:rPr>
                <w:rFonts w:ascii="Arial" w:hAnsi="Arial" w:cs="Arial"/>
                <w:bCs/>
                <w:lang w:val="en-ZA"/>
              </w:rPr>
              <w:t>555</w:t>
            </w:r>
          </w:p>
        </w:tc>
        <w:tc>
          <w:tcPr>
            <w:tcW w:w="900" w:type="dxa"/>
            <w:noWrap/>
            <w:hideMark/>
          </w:tcPr>
          <w:p w:rsidR="00DB3949" w:rsidRPr="008B6366" w:rsidRDefault="00DB3949" w:rsidP="006913DD">
            <w:pPr>
              <w:spacing w:before="60" w:after="60" w:line="240" w:lineRule="auto"/>
              <w:jc w:val="center"/>
              <w:rPr>
                <w:rFonts w:ascii="Arial" w:hAnsi="Arial" w:cs="Arial"/>
                <w:bCs/>
                <w:lang w:val="en-ZA"/>
              </w:rPr>
            </w:pPr>
            <w:r w:rsidRPr="008B6366">
              <w:rPr>
                <w:rFonts w:ascii="Arial" w:hAnsi="Arial" w:cs="Arial"/>
                <w:bCs/>
                <w:lang w:val="en-ZA"/>
              </w:rPr>
              <w:t>8</w:t>
            </w:r>
            <w:r>
              <w:rPr>
                <w:rFonts w:ascii="Arial" w:hAnsi="Arial" w:cs="Arial"/>
                <w:bCs/>
                <w:lang w:val="en-ZA"/>
              </w:rPr>
              <w:t xml:space="preserve"> </w:t>
            </w:r>
            <w:r w:rsidRPr="008B6366">
              <w:rPr>
                <w:rFonts w:ascii="Arial" w:hAnsi="Arial" w:cs="Arial"/>
                <w:bCs/>
                <w:lang w:val="en-ZA"/>
              </w:rPr>
              <w:t>468</w:t>
            </w:r>
          </w:p>
        </w:tc>
      </w:tr>
    </w:tbl>
    <w:p w:rsidR="00AC3D0A" w:rsidRPr="008B6366" w:rsidRDefault="00AC3D0A" w:rsidP="000C6249">
      <w:pPr>
        <w:pStyle w:val="ListParagraph"/>
        <w:numPr>
          <w:ilvl w:val="0"/>
          <w:numId w:val="39"/>
        </w:numPr>
        <w:spacing w:before="240" w:after="240" w:line="360" w:lineRule="auto"/>
        <w:ind w:left="720" w:hanging="720"/>
        <w:contextualSpacing w:val="0"/>
        <w:jc w:val="both"/>
        <w:rPr>
          <w:rFonts w:ascii="Arial" w:hAnsi="Arial" w:cs="Arial"/>
        </w:rPr>
      </w:pPr>
      <w:r w:rsidRPr="008B6366">
        <w:rPr>
          <w:rFonts w:ascii="Arial" w:hAnsi="Arial" w:cs="Arial"/>
        </w:rPr>
        <w:t xml:space="preserve">TVET colleges are </w:t>
      </w:r>
      <w:r w:rsidR="00331EFD" w:rsidRPr="008B6366">
        <w:rPr>
          <w:rFonts w:ascii="Arial" w:hAnsi="Arial" w:cs="Arial"/>
        </w:rPr>
        <w:t xml:space="preserve">expected </w:t>
      </w:r>
      <w:r w:rsidR="003C63F6" w:rsidRPr="008B6366">
        <w:rPr>
          <w:rFonts w:ascii="Arial" w:hAnsi="Arial" w:cs="Arial"/>
        </w:rPr>
        <w:t xml:space="preserve">to manage </w:t>
      </w:r>
      <w:r w:rsidR="007E194B" w:rsidRPr="008B6366">
        <w:rPr>
          <w:rFonts w:ascii="Arial" w:hAnsi="Arial" w:cs="Arial"/>
        </w:rPr>
        <w:t>student</w:t>
      </w:r>
      <w:r w:rsidR="00331EFD" w:rsidRPr="008B6366">
        <w:rPr>
          <w:rFonts w:ascii="Arial" w:hAnsi="Arial" w:cs="Arial"/>
        </w:rPr>
        <w:t xml:space="preserve"> enrolments in line with the </w:t>
      </w:r>
      <w:r w:rsidR="007E194B" w:rsidRPr="008B6366">
        <w:rPr>
          <w:rFonts w:ascii="Arial" w:hAnsi="Arial" w:cs="Arial"/>
        </w:rPr>
        <w:t>available</w:t>
      </w:r>
      <w:r w:rsidR="00331EFD" w:rsidRPr="008B6366">
        <w:rPr>
          <w:rFonts w:ascii="Arial" w:hAnsi="Arial" w:cs="Arial"/>
        </w:rPr>
        <w:t xml:space="preserve"> infrastructure</w:t>
      </w:r>
      <w:r w:rsidR="005F5F5D" w:rsidRPr="008B6366">
        <w:rPr>
          <w:rFonts w:ascii="Arial" w:hAnsi="Arial" w:cs="Arial"/>
        </w:rPr>
        <w:t xml:space="preserve"> and available funding, given the very</w:t>
      </w:r>
      <w:r w:rsidR="00814A85">
        <w:rPr>
          <w:rFonts w:ascii="Arial" w:hAnsi="Arial" w:cs="Arial"/>
        </w:rPr>
        <w:t xml:space="preserve"> high</w:t>
      </w:r>
      <w:r w:rsidR="005F5F5D" w:rsidRPr="008B6366">
        <w:rPr>
          <w:rFonts w:ascii="Arial" w:hAnsi="Arial" w:cs="Arial"/>
        </w:rPr>
        <w:t xml:space="preserve"> cost of delivering these programmes</w:t>
      </w:r>
      <w:r w:rsidR="00331EFD" w:rsidRPr="008B6366">
        <w:rPr>
          <w:rFonts w:ascii="Arial" w:hAnsi="Arial" w:cs="Arial"/>
        </w:rPr>
        <w:t xml:space="preserve">. </w:t>
      </w:r>
      <w:r w:rsidR="007E194B" w:rsidRPr="008B6366">
        <w:rPr>
          <w:rFonts w:ascii="Arial" w:hAnsi="Arial" w:cs="Arial"/>
        </w:rPr>
        <w:t>Opportunities for Work Integrated</w:t>
      </w:r>
      <w:r w:rsidR="00331EFD" w:rsidRPr="008B6366">
        <w:rPr>
          <w:rFonts w:ascii="Arial" w:hAnsi="Arial" w:cs="Arial"/>
        </w:rPr>
        <w:t xml:space="preserve"> </w:t>
      </w:r>
      <w:r w:rsidR="007E194B" w:rsidRPr="008B6366">
        <w:rPr>
          <w:rFonts w:ascii="Arial" w:hAnsi="Arial" w:cs="Arial"/>
        </w:rPr>
        <w:t>Learning are also important considerations</w:t>
      </w:r>
      <w:r w:rsidR="005F5F5D" w:rsidRPr="008B6366">
        <w:rPr>
          <w:rFonts w:ascii="Arial" w:hAnsi="Arial" w:cs="Arial"/>
        </w:rPr>
        <w:t xml:space="preserve"> in determining student enrolment numbers</w:t>
      </w:r>
      <w:r w:rsidR="007E194B" w:rsidRPr="008B6366">
        <w:rPr>
          <w:rFonts w:ascii="Arial" w:hAnsi="Arial" w:cs="Arial"/>
        </w:rPr>
        <w:t>.</w:t>
      </w:r>
      <w:r w:rsidR="005F5F5D" w:rsidRPr="008B6366">
        <w:rPr>
          <w:rFonts w:ascii="Arial" w:hAnsi="Arial" w:cs="Arial"/>
        </w:rPr>
        <w:t xml:space="preserve"> </w:t>
      </w:r>
      <w:r w:rsidR="007E194B" w:rsidRPr="008B6366">
        <w:rPr>
          <w:rFonts w:ascii="Arial" w:hAnsi="Arial" w:cs="Arial"/>
        </w:rPr>
        <w:t xml:space="preserve">Colleges have </w:t>
      </w:r>
      <w:r w:rsidR="005F5F5D" w:rsidRPr="008B6366">
        <w:rPr>
          <w:rFonts w:ascii="Arial" w:hAnsi="Arial" w:cs="Arial"/>
        </w:rPr>
        <w:t xml:space="preserve">also </w:t>
      </w:r>
      <w:r w:rsidR="007E194B" w:rsidRPr="008B6366">
        <w:rPr>
          <w:rFonts w:ascii="Arial" w:hAnsi="Arial" w:cs="Arial"/>
        </w:rPr>
        <w:t>reported difficulty with recruitment and retention of staff in these programmes, given the demand</w:t>
      </w:r>
      <w:r w:rsidR="005F5F5D" w:rsidRPr="008B6366">
        <w:rPr>
          <w:rFonts w:ascii="Arial" w:hAnsi="Arial" w:cs="Arial"/>
        </w:rPr>
        <w:t xml:space="preserve"> for their skills </w:t>
      </w:r>
      <w:r w:rsidR="007E194B" w:rsidRPr="008B6366">
        <w:rPr>
          <w:rFonts w:ascii="Arial" w:hAnsi="Arial" w:cs="Arial"/>
        </w:rPr>
        <w:t>in the private sector</w:t>
      </w:r>
      <w:r w:rsidR="003C63F6" w:rsidRPr="008B6366">
        <w:rPr>
          <w:rFonts w:ascii="Arial" w:hAnsi="Arial" w:cs="Arial"/>
        </w:rPr>
        <w:t>.</w:t>
      </w:r>
    </w:p>
    <w:p w:rsidR="006913DD" w:rsidRPr="008B6366" w:rsidRDefault="000A032C" w:rsidP="00107F30">
      <w:pPr>
        <w:pStyle w:val="ListParagraph"/>
        <w:numPr>
          <w:ilvl w:val="0"/>
          <w:numId w:val="39"/>
        </w:numPr>
        <w:spacing w:after="240" w:line="360" w:lineRule="auto"/>
        <w:ind w:left="720" w:hanging="720"/>
        <w:contextualSpacing w:val="0"/>
        <w:jc w:val="both"/>
        <w:rPr>
          <w:rFonts w:ascii="Arial" w:hAnsi="Arial" w:cs="Arial"/>
          <w:lang w:val="en-ZA"/>
        </w:rPr>
      </w:pPr>
      <w:r w:rsidRPr="008B6366">
        <w:rPr>
          <w:rFonts w:ascii="Arial" w:hAnsi="Arial" w:cs="Arial"/>
        </w:rPr>
        <w:lastRenderedPageBreak/>
        <w:t>Minimum entrance requirements are aligned to the N</w:t>
      </w:r>
      <w:r w:rsidR="00BB418F" w:rsidRPr="008B6366">
        <w:rPr>
          <w:rFonts w:ascii="Arial" w:hAnsi="Arial" w:cs="Arial"/>
        </w:rPr>
        <w:t xml:space="preserve">ational Certificate Vocational </w:t>
      </w:r>
      <w:r w:rsidR="006D2A6F" w:rsidRPr="008B6366">
        <w:rPr>
          <w:rFonts w:ascii="Arial" w:hAnsi="Arial" w:cs="Arial"/>
        </w:rPr>
        <w:br/>
      </w:r>
      <w:r w:rsidR="00DB3949">
        <w:rPr>
          <w:rFonts w:ascii="Arial" w:hAnsi="Arial" w:cs="Arial"/>
        </w:rPr>
        <w:t>[</w:t>
      </w:r>
      <w:r w:rsidR="00BB418F" w:rsidRPr="008B6366">
        <w:rPr>
          <w:rFonts w:ascii="Arial" w:hAnsi="Arial" w:cs="Arial"/>
        </w:rPr>
        <w:t>N</w:t>
      </w:r>
      <w:r w:rsidRPr="008B6366">
        <w:rPr>
          <w:rFonts w:ascii="Arial" w:hAnsi="Arial" w:cs="Arial"/>
        </w:rPr>
        <w:t>C</w:t>
      </w:r>
      <w:r w:rsidR="00BB418F" w:rsidRPr="008B6366">
        <w:rPr>
          <w:rFonts w:ascii="Arial" w:hAnsi="Arial" w:cs="Arial"/>
        </w:rPr>
        <w:t>(</w:t>
      </w:r>
      <w:r w:rsidRPr="008B6366">
        <w:rPr>
          <w:rFonts w:ascii="Arial" w:hAnsi="Arial" w:cs="Arial"/>
        </w:rPr>
        <w:t>V</w:t>
      </w:r>
      <w:r w:rsidR="00DB3949">
        <w:rPr>
          <w:rFonts w:ascii="Arial" w:hAnsi="Arial" w:cs="Arial"/>
        </w:rPr>
        <w:t>)]</w:t>
      </w:r>
      <w:r w:rsidRPr="008B6366">
        <w:rPr>
          <w:rFonts w:ascii="Arial" w:hAnsi="Arial" w:cs="Arial"/>
        </w:rPr>
        <w:t xml:space="preserve"> </w:t>
      </w:r>
      <w:r w:rsidR="00BB418F" w:rsidRPr="008B6366">
        <w:rPr>
          <w:rFonts w:ascii="Arial" w:hAnsi="Arial" w:cs="Arial"/>
        </w:rPr>
        <w:t xml:space="preserve">policy </w:t>
      </w:r>
      <w:r w:rsidR="005F5F5D" w:rsidRPr="008B6366">
        <w:rPr>
          <w:rFonts w:ascii="Arial" w:hAnsi="Arial" w:cs="Arial"/>
        </w:rPr>
        <w:t xml:space="preserve">whereby </w:t>
      </w:r>
      <w:r w:rsidR="0098046C" w:rsidRPr="008B6366">
        <w:rPr>
          <w:rFonts w:ascii="Arial" w:hAnsi="Arial" w:cs="Arial"/>
        </w:rPr>
        <w:t xml:space="preserve">students </w:t>
      </w:r>
      <w:r w:rsidR="005F5F5D" w:rsidRPr="008B6366">
        <w:rPr>
          <w:rFonts w:ascii="Arial" w:hAnsi="Arial" w:cs="Arial"/>
        </w:rPr>
        <w:t xml:space="preserve">can enrol in the NC(V) programmes having passed </w:t>
      </w:r>
      <w:r w:rsidR="005F5F5D" w:rsidRPr="00E42861">
        <w:rPr>
          <w:rFonts w:ascii="Arial" w:hAnsi="Arial" w:cs="Arial"/>
          <w:noProof/>
        </w:rPr>
        <w:t>a</w:t>
      </w:r>
      <w:r w:rsidR="00E42861">
        <w:rPr>
          <w:rFonts w:ascii="Arial" w:hAnsi="Arial" w:cs="Arial"/>
          <w:noProof/>
        </w:rPr>
        <w:t>n</w:t>
      </w:r>
      <w:r w:rsidRPr="00E42861">
        <w:rPr>
          <w:rFonts w:ascii="Arial" w:hAnsi="Arial" w:cs="Arial"/>
          <w:noProof/>
        </w:rPr>
        <w:t xml:space="preserve"> NQF</w:t>
      </w:r>
      <w:r w:rsidRPr="008B6366">
        <w:rPr>
          <w:rFonts w:ascii="Arial" w:hAnsi="Arial" w:cs="Arial"/>
        </w:rPr>
        <w:t xml:space="preserve"> level 1 qualification</w:t>
      </w:r>
      <w:r w:rsidR="00DB3949">
        <w:rPr>
          <w:rFonts w:ascii="Arial" w:hAnsi="Arial" w:cs="Arial"/>
        </w:rPr>
        <w:t>,</w:t>
      </w:r>
      <w:r w:rsidRPr="008B6366">
        <w:rPr>
          <w:rFonts w:ascii="Arial" w:hAnsi="Arial" w:cs="Arial"/>
        </w:rPr>
        <w:t xml:space="preserve"> i.e. </w:t>
      </w:r>
      <w:r w:rsidR="00DB3949">
        <w:rPr>
          <w:rFonts w:ascii="Arial" w:hAnsi="Arial" w:cs="Arial"/>
        </w:rPr>
        <w:t>G</w:t>
      </w:r>
      <w:r w:rsidRPr="008B6366">
        <w:rPr>
          <w:rFonts w:ascii="Arial" w:hAnsi="Arial" w:cs="Arial"/>
        </w:rPr>
        <w:t>rade 9</w:t>
      </w:r>
      <w:r w:rsidR="005F5F5D" w:rsidRPr="008B6366">
        <w:rPr>
          <w:rFonts w:ascii="Arial" w:hAnsi="Arial" w:cs="Arial"/>
        </w:rPr>
        <w:t xml:space="preserve">, </w:t>
      </w:r>
      <w:r w:rsidR="00DB3949">
        <w:rPr>
          <w:rFonts w:ascii="Arial" w:hAnsi="Arial" w:cs="Arial"/>
        </w:rPr>
        <w:t>AET Level 4,</w:t>
      </w:r>
      <w:r w:rsidRPr="008B6366">
        <w:rPr>
          <w:rFonts w:ascii="Arial" w:hAnsi="Arial" w:cs="Arial"/>
        </w:rPr>
        <w:t xml:space="preserve"> </w:t>
      </w:r>
      <w:r w:rsidR="005F5F5D" w:rsidRPr="008B6366">
        <w:rPr>
          <w:rFonts w:ascii="Arial" w:hAnsi="Arial" w:cs="Arial"/>
        </w:rPr>
        <w:t>successfully</w:t>
      </w:r>
      <w:r w:rsidR="007E194B" w:rsidRPr="008B6366">
        <w:rPr>
          <w:rFonts w:ascii="Arial" w:hAnsi="Arial" w:cs="Arial"/>
        </w:rPr>
        <w:t xml:space="preserve"> appl</w:t>
      </w:r>
      <w:r w:rsidR="005F5F5D" w:rsidRPr="008B6366">
        <w:rPr>
          <w:rFonts w:ascii="Arial" w:hAnsi="Arial" w:cs="Arial"/>
        </w:rPr>
        <w:t>ied</w:t>
      </w:r>
      <w:r w:rsidR="007E194B" w:rsidRPr="008B6366">
        <w:rPr>
          <w:rFonts w:ascii="Arial" w:hAnsi="Arial" w:cs="Arial"/>
        </w:rPr>
        <w:t xml:space="preserve"> for</w:t>
      </w:r>
      <w:r w:rsidRPr="008B6366">
        <w:rPr>
          <w:rFonts w:ascii="Arial" w:hAnsi="Arial" w:cs="Arial"/>
        </w:rPr>
        <w:t xml:space="preserve"> </w:t>
      </w:r>
      <w:r w:rsidR="00BB418F" w:rsidRPr="008B6366">
        <w:rPr>
          <w:rFonts w:ascii="Arial" w:hAnsi="Arial" w:cs="Arial"/>
        </w:rPr>
        <w:t>Recognition</w:t>
      </w:r>
      <w:r w:rsidR="001B6BD6" w:rsidRPr="008B6366">
        <w:rPr>
          <w:rFonts w:ascii="Arial" w:hAnsi="Arial" w:cs="Arial"/>
        </w:rPr>
        <w:t xml:space="preserve"> of Prior </w:t>
      </w:r>
      <w:r w:rsidR="00BB418F" w:rsidRPr="008B6366">
        <w:rPr>
          <w:rFonts w:ascii="Arial" w:hAnsi="Arial" w:cs="Arial"/>
        </w:rPr>
        <w:t xml:space="preserve">Learning </w:t>
      </w:r>
      <w:r w:rsidR="001B6BD6" w:rsidRPr="008B6366">
        <w:rPr>
          <w:rFonts w:ascii="Arial" w:hAnsi="Arial" w:cs="Arial"/>
        </w:rPr>
        <w:t>(</w:t>
      </w:r>
      <w:r w:rsidRPr="008B6366">
        <w:rPr>
          <w:rFonts w:ascii="Arial" w:hAnsi="Arial" w:cs="Arial"/>
        </w:rPr>
        <w:t>RPL</w:t>
      </w:r>
      <w:r w:rsidR="001B6BD6" w:rsidRPr="008B6366">
        <w:rPr>
          <w:rFonts w:ascii="Arial" w:hAnsi="Arial" w:cs="Arial"/>
        </w:rPr>
        <w:t>)</w:t>
      </w:r>
      <w:r w:rsidR="007E194B" w:rsidRPr="008B6366">
        <w:rPr>
          <w:rFonts w:ascii="Arial" w:hAnsi="Arial" w:cs="Arial"/>
        </w:rPr>
        <w:t xml:space="preserve"> or </w:t>
      </w:r>
      <w:r w:rsidR="005F5F5D" w:rsidRPr="008B6366">
        <w:rPr>
          <w:rFonts w:ascii="Arial" w:hAnsi="Arial" w:cs="Arial"/>
        </w:rPr>
        <w:t xml:space="preserve">completed </w:t>
      </w:r>
      <w:r w:rsidR="007E194B" w:rsidRPr="008B6366">
        <w:rPr>
          <w:rFonts w:ascii="Arial" w:hAnsi="Arial" w:cs="Arial"/>
        </w:rPr>
        <w:t>the</w:t>
      </w:r>
      <w:r w:rsidRPr="008B6366">
        <w:rPr>
          <w:rFonts w:ascii="Arial" w:hAnsi="Arial" w:cs="Arial"/>
        </w:rPr>
        <w:t xml:space="preserve"> Pre-Vocational Learning Programme (PLP)</w:t>
      </w:r>
      <w:r w:rsidR="005F5F5D" w:rsidRPr="008B6366">
        <w:rPr>
          <w:rFonts w:ascii="Arial" w:hAnsi="Arial" w:cs="Arial"/>
        </w:rPr>
        <w:t>.</w:t>
      </w:r>
      <w:r w:rsidR="00BB418F" w:rsidRPr="008B6366">
        <w:rPr>
          <w:rFonts w:ascii="Arial" w:hAnsi="Arial" w:cs="Arial"/>
        </w:rPr>
        <w:t xml:space="preserve"> </w:t>
      </w:r>
      <w:r w:rsidR="007E194B" w:rsidRPr="008B6366">
        <w:rPr>
          <w:rFonts w:ascii="Arial" w:hAnsi="Arial" w:cs="Arial"/>
        </w:rPr>
        <w:t>The minimum e</w:t>
      </w:r>
      <w:r w:rsidRPr="008B6366">
        <w:rPr>
          <w:rFonts w:ascii="Arial" w:hAnsi="Arial" w:cs="Arial"/>
        </w:rPr>
        <w:t>ntry requirements should</w:t>
      </w:r>
      <w:r w:rsidR="00E42861">
        <w:rPr>
          <w:rFonts w:ascii="Arial" w:hAnsi="Arial" w:cs="Arial"/>
        </w:rPr>
        <w:t>, therefore,</w:t>
      </w:r>
      <w:r w:rsidRPr="008B6366">
        <w:rPr>
          <w:rFonts w:ascii="Arial" w:hAnsi="Arial" w:cs="Arial"/>
        </w:rPr>
        <w:t xml:space="preserve"> be guided </w:t>
      </w:r>
      <w:r w:rsidR="007E194B" w:rsidRPr="008B6366">
        <w:rPr>
          <w:rFonts w:ascii="Arial" w:hAnsi="Arial" w:cs="Arial"/>
        </w:rPr>
        <w:t xml:space="preserve">by </w:t>
      </w:r>
      <w:r w:rsidR="00DB3949">
        <w:rPr>
          <w:rFonts w:ascii="Arial" w:hAnsi="Arial" w:cs="Arial"/>
        </w:rPr>
        <w:t>and aligned to the NC</w:t>
      </w:r>
      <w:r w:rsidRPr="008B6366">
        <w:rPr>
          <w:rFonts w:ascii="Arial" w:hAnsi="Arial" w:cs="Arial"/>
        </w:rPr>
        <w:t>(V) policy.</w:t>
      </w:r>
      <w:r w:rsidR="007E194B" w:rsidRPr="008B6366">
        <w:rPr>
          <w:rFonts w:ascii="Arial" w:hAnsi="Arial" w:cs="Arial"/>
        </w:rPr>
        <w:t xml:space="preserve"> However, </w:t>
      </w:r>
      <w:r w:rsidR="000C6249" w:rsidRPr="008B6366">
        <w:rPr>
          <w:rFonts w:ascii="Arial" w:hAnsi="Arial" w:cs="Arial"/>
          <w:lang w:val="en-ZA"/>
        </w:rPr>
        <w:t>TVET c</w:t>
      </w:r>
      <w:r w:rsidR="008233C3" w:rsidRPr="008B6366">
        <w:rPr>
          <w:rFonts w:ascii="Arial" w:hAnsi="Arial" w:cs="Arial"/>
          <w:lang w:val="en-ZA"/>
        </w:rPr>
        <w:t xml:space="preserve">olleges </w:t>
      </w:r>
      <w:r w:rsidR="007E194B" w:rsidRPr="008B6366">
        <w:rPr>
          <w:rFonts w:ascii="Arial" w:hAnsi="Arial" w:cs="Arial"/>
          <w:lang w:val="en-ZA"/>
        </w:rPr>
        <w:t>are required</w:t>
      </w:r>
      <w:r w:rsidR="008233C3" w:rsidRPr="008B6366">
        <w:rPr>
          <w:rFonts w:ascii="Arial" w:hAnsi="Arial" w:cs="Arial"/>
          <w:lang w:val="en-ZA"/>
        </w:rPr>
        <w:t xml:space="preserve"> to develop additional entrance requirements for students intending to enrol in specialised programmes, such as </w:t>
      </w:r>
      <w:r w:rsidR="007E194B" w:rsidRPr="008B6366">
        <w:rPr>
          <w:rFonts w:ascii="Arial" w:hAnsi="Arial" w:cs="Arial"/>
          <w:lang w:val="en-ZA"/>
        </w:rPr>
        <w:t>M</w:t>
      </w:r>
      <w:r w:rsidR="00524FA8" w:rsidRPr="008B6366">
        <w:rPr>
          <w:rFonts w:ascii="Arial" w:hAnsi="Arial" w:cs="Arial"/>
          <w:lang w:val="en-ZA"/>
        </w:rPr>
        <w:t>echatronics</w:t>
      </w:r>
      <w:r w:rsidR="005F5F5D" w:rsidRPr="008B6366">
        <w:rPr>
          <w:rFonts w:ascii="Arial" w:hAnsi="Arial" w:cs="Arial"/>
          <w:lang w:val="en-ZA"/>
        </w:rPr>
        <w:t>,</w:t>
      </w:r>
      <w:r w:rsidR="007E194B" w:rsidRPr="008B6366">
        <w:rPr>
          <w:rFonts w:ascii="Arial" w:hAnsi="Arial" w:cs="Arial"/>
          <w:lang w:val="en-ZA"/>
        </w:rPr>
        <w:t xml:space="preserve"> </w:t>
      </w:r>
      <w:r w:rsidR="005F5F5D" w:rsidRPr="008B6366">
        <w:rPr>
          <w:rFonts w:ascii="Arial" w:hAnsi="Arial" w:cs="Arial"/>
          <w:lang w:val="en-ZA"/>
        </w:rPr>
        <w:t>where</w:t>
      </w:r>
      <w:r w:rsidR="00BB418F" w:rsidRPr="008B6366">
        <w:rPr>
          <w:rFonts w:ascii="Arial" w:hAnsi="Arial" w:cs="Arial"/>
          <w:lang w:val="en-ZA"/>
        </w:rPr>
        <w:t xml:space="preserve"> </w:t>
      </w:r>
      <w:r w:rsidR="00A9038B">
        <w:rPr>
          <w:rFonts w:ascii="Arial" w:hAnsi="Arial" w:cs="Arial"/>
          <w:lang w:val="en-ZA"/>
        </w:rPr>
        <w:t>m</w:t>
      </w:r>
      <w:r w:rsidR="00BB418F" w:rsidRPr="008B6366">
        <w:rPr>
          <w:rFonts w:ascii="Arial" w:hAnsi="Arial" w:cs="Arial"/>
          <w:lang w:val="en-ZA"/>
        </w:rPr>
        <w:t xml:space="preserve">athematics and </w:t>
      </w:r>
      <w:r w:rsidR="00A9038B">
        <w:rPr>
          <w:rFonts w:ascii="Arial" w:hAnsi="Arial" w:cs="Arial"/>
          <w:lang w:val="en-ZA"/>
        </w:rPr>
        <w:t>p</w:t>
      </w:r>
      <w:r w:rsidR="00BB418F" w:rsidRPr="008B6366">
        <w:rPr>
          <w:rFonts w:ascii="Arial" w:hAnsi="Arial" w:cs="Arial"/>
          <w:lang w:val="en-ZA"/>
        </w:rPr>
        <w:t xml:space="preserve">hysical </w:t>
      </w:r>
      <w:r w:rsidR="00A9038B">
        <w:rPr>
          <w:rFonts w:ascii="Arial" w:hAnsi="Arial" w:cs="Arial"/>
          <w:lang w:val="en-ZA"/>
        </w:rPr>
        <w:t>s</w:t>
      </w:r>
      <w:r w:rsidR="00BB418F" w:rsidRPr="008B6366">
        <w:rPr>
          <w:rFonts w:ascii="Arial" w:hAnsi="Arial" w:cs="Arial"/>
          <w:lang w:val="en-ZA"/>
        </w:rPr>
        <w:t>cience</w:t>
      </w:r>
      <w:r w:rsidR="007E194B" w:rsidRPr="008B6366">
        <w:rPr>
          <w:rFonts w:ascii="Arial" w:hAnsi="Arial" w:cs="Arial"/>
          <w:lang w:val="en-ZA"/>
        </w:rPr>
        <w:t xml:space="preserve"> are key entry subjects.</w:t>
      </w:r>
    </w:p>
    <w:p w:rsidR="008233C3" w:rsidRPr="008B6366" w:rsidRDefault="008233C3" w:rsidP="006913DD">
      <w:pPr>
        <w:pStyle w:val="ListParagraph"/>
        <w:spacing w:after="240" w:line="360" w:lineRule="auto"/>
        <w:contextualSpacing w:val="0"/>
        <w:jc w:val="both"/>
        <w:rPr>
          <w:rFonts w:ascii="Arial" w:hAnsi="Arial" w:cs="Arial"/>
          <w:lang w:val="en-ZA"/>
        </w:rPr>
      </w:pPr>
      <w:r w:rsidRPr="008B6366">
        <w:rPr>
          <w:rFonts w:ascii="Arial" w:hAnsi="Arial" w:cs="Arial"/>
          <w:lang w:val="en-ZA"/>
        </w:rPr>
        <w:t xml:space="preserve">The Department is </w:t>
      </w:r>
      <w:r w:rsidR="007E194B" w:rsidRPr="008B6366">
        <w:rPr>
          <w:rFonts w:ascii="Arial" w:hAnsi="Arial" w:cs="Arial"/>
          <w:lang w:val="en-ZA"/>
        </w:rPr>
        <w:t xml:space="preserve">in the process of </w:t>
      </w:r>
      <w:r w:rsidR="0061066B" w:rsidRPr="008B6366">
        <w:rPr>
          <w:rFonts w:ascii="Arial" w:hAnsi="Arial" w:cs="Arial"/>
          <w:lang w:val="en-ZA"/>
        </w:rPr>
        <w:t xml:space="preserve">drafting </w:t>
      </w:r>
      <w:r w:rsidR="005F5F5D" w:rsidRPr="008B6366">
        <w:rPr>
          <w:rFonts w:ascii="Arial" w:hAnsi="Arial" w:cs="Arial"/>
          <w:lang w:val="en-ZA"/>
        </w:rPr>
        <w:t>g</w:t>
      </w:r>
      <w:r w:rsidR="0061066B" w:rsidRPr="008B6366">
        <w:rPr>
          <w:rFonts w:ascii="Arial" w:hAnsi="Arial" w:cs="Arial"/>
          <w:lang w:val="en-ZA"/>
        </w:rPr>
        <w:t>uidelines</w:t>
      </w:r>
      <w:r w:rsidRPr="008B6366">
        <w:rPr>
          <w:rFonts w:ascii="Arial" w:hAnsi="Arial" w:cs="Arial"/>
          <w:i/>
          <w:lang w:val="en-ZA"/>
        </w:rPr>
        <w:t xml:space="preserve"> for Additional Admission </w:t>
      </w:r>
      <w:r w:rsidR="007E194B" w:rsidRPr="008B6366">
        <w:rPr>
          <w:rFonts w:ascii="Arial" w:hAnsi="Arial" w:cs="Arial"/>
          <w:i/>
          <w:lang w:val="en-ZA"/>
        </w:rPr>
        <w:t>R</w:t>
      </w:r>
      <w:r w:rsidRPr="008B6366">
        <w:rPr>
          <w:rFonts w:ascii="Arial" w:hAnsi="Arial" w:cs="Arial"/>
          <w:i/>
          <w:lang w:val="en-ZA"/>
        </w:rPr>
        <w:t>equirements</w:t>
      </w:r>
      <w:r w:rsidRPr="008B6366">
        <w:rPr>
          <w:rFonts w:ascii="Arial" w:hAnsi="Arial" w:cs="Arial"/>
          <w:lang w:val="en-ZA"/>
        </w:rPr>
        <w:t xml:space="preserve"> </w:t>
      </w:r>
      <w:r w:rsidR="0035530B" w:rsidRPr="008B6366">
        <w:rPr>
          <w:rFonts w:ascii="Arial" w:hAnsi="Arial" w:cs="Arial"/>
          <w:lang w:val="en-ZA"/>
        </w:rPr>
        <w:t xml:space="preserve">to guide the </w:t>
      </w:r>
      <w:r w:rsidRPr="008B6366">
        <w:rPr>
          <w:rFonts w:ascii="Arial" w:hAnsi="Arial" w:cs="Arial"/>
          <w:lang w:val="en-ZA"/>
        </w:rPr>
        <w:t xml:space="preserve">colleges </w:t>
      </w:r>
      <w:r w:rsidR="00814A85">
        <w:rPr>
          <w:rFonts w:ascii="Arial" w:hAnsi="Arial" w:cs="Arial"/>
          <w:lang w:val="en-ZA"/>
        </w:rPr>
        <w:t>when formulating</w:t>
      </w:r>
      <w:bookmarkStart w:id="0" w:name="_GoBack"/>
      <w:bookmarkEnd w:id="0"/>
      <w:r w:rsidRPr="008B6366">
        <w:rPr>
          <w:rFonts w:ascii="Arial" w:hAnsi="Arial" w:cs="Arial"/>
          <w:lang w:val="en-ZA"/>
        </w:rPr>
        <w:t xml:space="preserve"> </w:t>
      </w:r>
      <w:r w:rsidR="0035530B" w:rsidRPr="008B6366">
        <w:rPr>
          <w:rFonts w:ascii="Arial" w:hAnsi="Arial" w:cs="Arial"/>
          <w:lang w:val="en-ZA"/>
        </w:rPr>
        <w:t xml:space="preserve">their </w:t>
      </w:r>
      <w:r w:rsidR="0061066B" w:rsidRPr="008B6366">
        <w:rPr>
          <w:rFonts w:ascii="Arial" w:hAnsi="Arial" w:cs="Arial"/>
          <w:lang w:val="en-ZA"/>
        </w:rPr>
        <w:t xml:space="preserve">guidelines for </w:t>
      </w:r>
      <w:r w:rsidRPr="008B6366">
        <w:rPr>
          <w:rFonts w:ascii="Arial" w:hAnsi="Arial" w:cs="Arial"/>
          <w:lang w:val="en-ZA"/>
        </w:rPr>
        <w:t>additional admission requirements. The</w:t>
      </w:r>
      <w:r w:rsidR="00A9038B">
        <w:rPr>
          <w:rFonts w:ascii="Arial" w:hAnsi="Arial" w:cs="Arial"/>
          <w:lang w:val="en-ZA"/>
        </w:rPr>
        <w:t xml:space="preserve"> recommended</w:t>
      </w:r>
      <w:r w:rsidRPr="008B6366">
        <w:rPr>
          <w:rFonts w:ascii="Arial" w:hAnsi="Arial" w:cs="Arial"/>
          <w:lang w:val="en-ZA"/>
        </w:rPr>
        <w:t xml:space="preserve"> point</w:t>
      </w:r>
      <w:r w:rsidR="0061066B" w:rsidRPr="008B6366">
        <w:rPr>
          <w:rFonts w:ascii="Arial" w:hAnsi="Arial" w:cs="Arial"/>
          <w:lang w:val="en-ZA"/>
        </w:rPr>
        <w:t>s</w:t>
      </w:r>
      <w:r w:rsidR="00A9038B">
        <w:rPr>
          <w:rFonts w:ascii="Arial" w:hAnsi="Arial" w:cs="Arial"/>
          <w:lang w:val="en-ZA"/>
        </w:rPr>
        <w:t xml:space="preserve"> system</w:t>
      </w:r>
      <w:r w:rsidR="005F5F5D" w:rsidRPr="008B6366">
        <w:rPr>
          <w:rFonts w:ascii="Arial" w:hAnsi="Arial" w:cs="Arial"/>
          <w:lang w:val="en-ZA"/>
        </w:rPr>
        <w:t>, which will attach</w:t>
      </w:r>
      <w:r w:rsidR="0061066B" w:rsidRPr="008B6366">
        <w:rPr>
          <w:rFonts w:ascii="Arial" w:hAnsi="Arial" w:cs="Arial"/>
          <w:lang w:val="en-ZA"/>
        </w:rPr>
        <w:t xml:space="preserve"> </w:t>
      </w:r>
      <w:r w:rsidRPr="008B6366">
        <w:rPr>
          <w:rFonts w:ascii="Arial" w:hAnsi="Arial" w:cs="Arial"/>
          <w:lang w:val="en-ZA"/>
        </w:rPr>
        <w:t>weigh</w:t>
      </w:r>
      <w:r w:rsidR="0061066B" w:rsidRPr="008B6366">
        <w:rPr>
          <w:rFonts w:ascii="Arial" w:hAnsi="Arial" w:cs="Arial"/>
          <w:lang w:val="en-ZA"/>
        </w:rPr>
        <w:t xml:space="preserve">ts to </w:t>
      </w:r>
      <w:r w:rsidRPr="008B6366">
        <w:rPr>
          <w:rFonts w:ascii="Arial" w:hAnsi="Arial" w:cs="Arial"/>
          <w:lang w:val="en-ZA"/>
        </w:rPr>
        <w:t xml:space="preserve">language, </w:t>
      </w:r>
      <w:r w:rsidR="0061066B" w:rsidRPr="008B6366">
        <w:rPr>
          <w:rFonts w:ascii="Arial" w:hAnsi="Arial" w:cs="Arial"/>
          <w:lang w:val="en-ZA"/>
        </w:rPr>
        <w:t xml:space="preserve">mathematics and science </w:t>
      </w:r>
      <w:r w:rsidR="005F5F5D" w:rsidRPr="008B6366">
        <w:rPr>
          <w:rFonts w:ascii="Arial" w:hAnsi="Arial" w:cs="Arial"/>
          <w:lang w:val="en-ZA"/>
        </w:rPr>
        <w:t xml:space="preserve">in </w:t>
      </w:r>
      <w:r w:rsidR="0061066B" w:rsidRPr="008B6366">
        <w:rPr>
          <w:rFonts w:ascii="Arial" w:hAnsi="Arial" w:cs="Arial"/>
          <w:lang w:val="en-ZA"/>
        </w:rPr>
        <w:t xml:space="preserve">those </w:t>
      </w:r>
      <w:r w:rsidRPr="008B6366">
        <w:rPr>
          <w:rFonts w:ascii="Arial" w:hAnsi="Arial" w:cs="Arial"/>
          <w:lang w:val="en-ZA"/>
        </w:rPr>
        <w:t>qualification</w:t>
      </w:r>
      <w:r w:rsidR="0061066B" w:rsidRPr="008B6366">
        <w:rPr>
          <w:rFonts w:ascii="Arial" w:hAnsi="Arial" w:cs="Arial"/>
          <w:lang w:val="en-ZA"/>
        </w:rPr>
        <w:t>s</w:t>
      </w:r>
      <w:r w:rsidR="00A9038B">
        <w:rPr>
          <w:rFonts w:ascii="Arial" w:hAnsi="Arial" w:cs="Arial"/>
          <w:lang w:val="en-ZA"/>
        </w:rPr>
        <w:t>/</w:t>
      </w:r>
      <w:r w:rsidR="005F5F5D" w:rsidRPr="008B6366">
        <w:rPr>
          <w:rFonts w:ascii="Arial" w:hAnsi="Arial" w:cs="Arial"/>
          <w:lang w:val="en-ZA"/>
        </w:rPr>
        <w:t>vocational specialisations</w:t>
      </w:r>
      <w:r w:rsidRPr="008B6366">
        <w:rPr>
          <w:rFonts w:ascii="Arial" w:hAnsi="Arial" w:cs="Arial"/>
          <w:lang w:val="en-ZA"/>
        </w:rPr>
        <w:t xml:space="preserve"> where these subjects serve as a pre-requisite.</w:t>
      </w:r>
      <w:r w:rsidRPr="008B6366">
        <w:rPr>
          <w:rFonts w:ascii="Arial" w:hAnsi="Arial" w:cs="Arial"/>
        </w:rPr>
        <w:t xml:space="preserve"> </w:t>
      </w:r>
      <w:r w:rsidRPr="008B6366">
        <w:rPr>
          <w:rFonts w:ascii="Arial" w:hAnsi="Arial" w:cs="Arial"/>
          <w:lang w:val="en-ZA"/>
        </w:rPr>
        <w:t xml:space="preserve">Colleges </w:t>
      </w:r>
      <w:r w:rsidR="0061066B" w:rsidRPr="00E42861">
        <w:rPr>
          <w:rFonts w:ascii="Arial" w:hAnsi="Arial" w:cs="Arial"/>
          <w:noProof/>
          <w:lang w:val="en-ZA"/>
        </w:rPr>
        <w:t>are however cautioned</w:t>
      </w:r>
      <w:r w:rsidR="0061066B" w:rsidRPr="008B6366">
        <w:rPr>
          <w:rFonts w:ascii="Arial" w:hAnsi="Arial" w:cs="Arial"/>
          <w:lang w:val="en-ZA"/>
        </w:rPr>
        <w:t xml:space="preserve"> </w:t>
      </w:r>
      <w:r w:rsidR="005F5F5D" w:rsidRPr="008B6366">
        <w:rPr>
          <w:rFonts w:ascii="Arial" w:hAnsi="Arial" w:cs="Arial"/>
          <w:lang w:val="en-ZA"/>
        </w:rPr>
        <w:t>that</w:t>
      </w:r>
      <w:r w:rsidRPr="008B6366">
        <w:rPr>
          <w:rFonts w:ascii="Arial" w:hAnsi="Arial" w:cs="Arial"/>
          <w:lang w:val="en-ZA"/>
        </w:rPr>
        <w:t xml:space="preserve"> the point</w:t>
      </w:r>
      <w:r w:rsidR="0061066B" w:rsidRPr="008B6366">
        <w:rPr>
          <w:rFonts w:ascii="Arial" w:hAnsi="Arial" w:cs="Arial"/>
          <w:lang w:val="en-ZA"/>
        </w:rPr>
        <w:t>s</w:t>
      </w:r>
      <w:r w:rsidRPr="008B6366">
        <w:rPr>
          <w:rFonts w:ascii="Arial" w:hAnsi="Arial" w:cs="Arial"/>
          <w:lang w:val="en-ZA"/>
        </w:rPr>
        <w:t xml:space="preserve"> system or additional criteria </w:t>
      </w:r>
      <w:r w:rsidR="005F5F5D" w:rsidRPr="008B6366">
        <w:rPr>
          <w:rFonts w:ascii="Arial" w:hAnsi="Arial" w:cs="Arial"/>
          <w:lang w:val="en-ZA"/>
        </w:rPr>
        <w:t xml:space="preserve">must not be set </w:t>
      </w:r>
      <w:r w:rsidR="0061066B" w:rsidRPr="008B6366">
        <w:rPr>
          <w:rFonts w:ascii="Arial" w:hAnsi="Arial" w:cs="Arial"/>
          <w:lang w:val="en-ZA"/>
        </w:rPr>
        <w:t>unrealistically high</w:t>
      </w:r>
      <w:r w:rsidRPr="008B6366">
        <w:rPr>
          <w:rFonts w:ascii="Arial" w:hAnsi="Arial" w:cs="Arial"/>
          <w:lang w:val="en-ZA"/>
        </w:rPr>
        <w:t xml:space="preserve"> or </w:t>
      </w:r>
      <w:r w:rsidR="005F5F5D" w:rsidRPr="00E42861">
        <w:rPr>
          <w:rFonts w:ascii="Arial" w:hAnsi="Arial" w:cs="Arial"/>
          <w:noProof/>
          <w:lang w:val="en-ZA"/>
        </w:rPr>
        <w:t xml:space="preserve">be </w:t>
      </w:r>
      <w:r w:rsidRPr="00E42861">
        <w:rPr>
          <w:rFonts w:ascii="Arial" w:hAnsi="Arial" w:cs="Arial"/>
          <w:noProof/>
          <w:lang w:val="en-ZA"/>
        </w:rPr>
        <w:t>used</w:t>
      </w:r>
      <w:r w:rsidRPr="008B6366">
        <w:rPr>
          <w:rFonts w:ascii="Arial" w:hAnsi="Arial" w:cs="Arial"/>
          <w:lang w:val="en-ZA"/>
        </w:rPr>
        <w:t xml:space="preserve"> as a tool to exclude pro</w:t>
      </w:r>
      <w:r w:rsidR="00955D9B" w:rsidRPr="008B6366">
        <w:rPr>
          <w:rFonts w:ascii="Arial" w:hAnsi="Arial" w:cs="Arial"/>
          <w:lang w:val="en-ZA"/>
        </w:rPr>
        <w:t>spective students from colleges.</w:t>
      </w:r>
      <w:r w:rsidRPr="008B6366">
        <w:rPr>
          <w:rFonts w:ascii="Arial" w:hAnsi="Arial" w:cs="Arial"/>
          <w:lang w:val="en-ZA"/>
        </w:rPr>
        <w:t xml:space="preserve">  </w:t>
      </w:r>
    </w:p>
    <w:p w:rsidR="00085B50" w:rsidRPr="008B6366" w:rsidRDefault="00085B50">
      <w:pPr>
        <w:spacing w:after="0" w:line="240" w:lineRule="auto"/>
        <w:rPr>
          <w:rFonts w:ascii="Arial" w:hAnsi="Arial" w:cs="Arial"/>
          <w:b/>
        </w:rPr>
      </w:pPr>
      <w:r w:rsidRPr="008B6366">
        <w:rPr>
          <w:rFonts w:ascii="Arial" w:hAnsi="Arial" w:cs="Arial"/>
          <w:b/>
        </w:rPr>
        <w:br w:type="page"/>
      </w:r>
    </w:p>
    <w:sectPr w:rsidR="00085B50" w:rsidRPr="008B6366" w:rsidSect="008B6366">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2">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3">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0">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9"/>
  </w:num>
  <w:num w:numId="3">
    <w:abstractNumId w:val="25"/>
  </w:num>
  <w:num w:numId="4">
    <w:abstractNumId w:val="3"/>
  </w:num>
  <w:num w:numId="5">
    <w:abstractNumId w:val="34"/>
  </w:num>
  <w:num w:numId="6">
    <w:abstractNumId w:val="22"/>
  </w:num>
  <w:num w:numId="7">
    <w:abstractNumId w:val="31"/>
  </w:num>
  <w:num w:numId="8">
    <w:abstractNumId w:val="21"/>
  </w:num>
  <w:num w:numId="9">
    <w:abstractNumId w:val="33"/>
  </w:num>
  <w:num w:numId="10">
    <w:abstractNumId w:val="11"/>
  </w:num>
  <w:num w:numId="11">
    <w:abstractNumId w:val="13"/>
  </w:num>
  <w:num w:numId="12">
    <w:abstractNumId w:val="2"/>
  </w:num>
  <w:num w:numId="13">
    <w:abstractNumId w:val="19"/>
  </w:num>
  <w:num w:numId="14">
    <w:abstractNumId w:val="30"/>
  </w:num>
  <w:num w:numId="15">
    <w:abstractNumId w:val="7"/>
  </w:num>
  <w:num w:numId="16">
    <w:abstractNumId w:val="36"/>
  </w:num>
  <w:num w:numId="17">
    <w:abstractNumId w:val="27"/>
  </w:num>
  <w:num w:numId="18">
    <w:abstractNumId w:val="37"/>
  </w:num>
  <w:num w:numId="19">
    <w:abstractNumId w:val="9"/>
  </w:num>
  <w:num w:numId="20">
    <w:abstractNumId w:val="16"/>
  </w:num>
  <w:num w:numId="21">
    <w:abstractNumId w:val="10"/>
  </w:num>
  <w:num w:numId="22">
    <w:abstractNumId w:val="12"/>
  </w:num>
  <w:num w:numId="23">
    <w:abstractNumId w:val="20"/>
  </w:num>
  <w:num w:numId="24">
    <w:abstractNumId w:val="23"/>
  </w:num>
  <w:num w:numId="25">
    <w:abstractNumId w:val="35"/>
  </w:num>
  <w:num w:numId="26">
    <w:abstractNumId w:val="17"/>
  </w:num>
  <w:num w:numId="27">
    <w:abstractNumId w:val="5"/>
  </w:num>
  <w:num w:numId="28">
    <w:abstractNumId w:val="26"/>
  </w:num>
  <w:num w:numId="29">
    <w:abstractNumId w:val="32"/>
  </w:num>
  <w:num w:numId="30">
    <w:abstractNumId w:val="24"/>
  </w:num>
  <w:num w:numId="31">
    <w:abstractNumId w:val="6"/>
  </w:num>
  <w:num w:numId="32">
    <w:abstractNumId w:val="8"/>
  </w:num>
  <w:num w:numId="33">
    <w:abstractNumId w:val="14"/>
  </w:num>
  <w:num w:numId="34">
    <w:abstractNumId w:val="4"/>
  </w:num>
  <w:num w:numId="35">
    <w:abstractNumId w:val="40"/>
  </w:num>
  <w:num w:numId="36">
    <w:abstractNumId w:val="15"/>
  </w:num>
  <w:num w:numId="37">
    <w:abstractNumId w:val="28"/>
  </w:num>
  <w:num w:numId="38">
    <w:abstractNumId w:val="38"/>
  </w:num>
  <w:num w:numId="39">
    <w:abstractNumId w:val="18"/>
  </w:num>
  <w:num w:numId="40">
    <w:abstractNumId w:val="1"/>
  </w:num>
  <w:num w:numId="4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6A4D"/>
    <w:rsid w:val="0004093A"/>
    <w:rsid w:val="000427EB"/>
    <w:rsid w:val="00042D11"/>
    <w:rsid w:val="0004337D"/>
    <w:rsid w:val="0004639E"/>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A02C9"/>
    <w:rsid w:val="000A032C"/>
    <w:rsid w:val="000A0D33"/>
    <w:rsid w:val="000A396B"/>
    <w:rsid w:val="000A45E9"/>
    <w:rsid w:val="000B221D"/>
    <w:rsid w:val="000B5192"/>
    <w:rsid w:val="000B7FB5"/>
    <w:rsid w:val="000C1633"/>
    <w:rsid w:val="000C2A22"/>
    <w:rsid w:val="000C6249"/>
    <w:rsid w:val="000D7B81"/>
    <w:rsid w:val="000E2985"/>
    <w:rsid w:val="000E44C0"/>
    <w:rsid w:val="000E44D4"/>
    <w:rsid w:val="000E6BFB"/>
    <w:rsid w:val="000F08F0"/>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7678"/>
    <w:rsid w:val="00222319"/>
    <w:rsid w:val="002264C4"/>
    <w:rsid w:val="00236408"/>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5D0E"/>
    <w:rsid w:val="005920D5"/>
    <w:rsid w:val="005A1C6B"/>
    <w:rsid w:val="005A46E3"/>
    <w:rsid w:val="005B4004"/>
    <w:rsid w:val="005B4963"/>
    <w:rsid w:val="005B6937"/>
    <w:rsid w:val="005B696E"/>
    <w:rsid w:val="005C0BA4"/>
    <w:rsid w:val="005C2051"/>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F3A6E"/>
    <w:rsid w:val="006F5790"/>
    <w:rsid w:val="00702601"/>
    <w:rsid w:val="00702F9A"/>
    <w:rsid w:val="00703DAD"/>
    <w:rsid w:val="00706CA8"/>
    <w:rsid w:val="00707E92"/>
    <w:rsid w:val="0071277F"/>
    <w:rsid w:val="00713F42"/>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A85"/>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3C1"/>
    <w:rsid w:val="00894DF3"/>
    <w:rsid w:val="008950F7"/>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8120A"/>
    <w:rsid w:val="00A858CE"/>
    <w:rsid w:val="00A86CC6"/>
    <w:rsid w:val="00A9038B"/>
    <w:rsid w:val="00A9229A"/>
    <w:rsid w:val="00A9633F"/>
    <w:rsid w:val="00A97D2E"/>
    <w:rsid w:val="00AA246C"/>
    <w:rsid w:val="00AA3944"/>
    <w:rsid w:val="00AA7A72"/>
    <w:rsid w:val="00AA7C35"/>
    <w:rsid w:val="00AB006F"/>
    <w:rsid w:val="00AB0621"/>
    <w:rsid w:val="00AB0F37"/>
    <w:rsid w:val="00AB25B2"/>
    <w:rsid w:val="00AB51D8"/>
    <w:rsid w:val="00AC05FC"/>
    <w:rsid w:val="00AC103D"/>
    <w:rsid w:val="00AC2325"/>
    <w:rsid w:val="00AC3D0A"/>
    <w:rsid w:val="00AC588D"/>
    <w:rsid w:val="00AC5AB2"/>
    <w:rsid w:val="00AD1373"/>
    <w:rsid w:val="00AD2B1D"/>
    <w:rsid w:val="00AD7E6B"/>
    <w:rsid w:val="00AE0682"/>
    <w:rsid w:val="00AE3241"/>
    <w:rsid w:val="00AF4B3D"/>
    <w:rsid w:val="00B022F2"/>
    <w:rsid w:val="00B02C57"/>
    <w:rsid w:val="00B03454"/>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4A9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949"/>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2861"/>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C08E5"/>
    <w:rsid w:val="00FC1A3C"/>
    <w:rsid w:val="00FC36DD"/>
    <w:rsid w:val="00FC5FE4"/>
    <w:rsid w:val="00FC6838"/>
    <w:rsid w:val="00FC7A05"/>
    <w:rsid w:val="00FD0B56"/>
    <w:rsid w:val="00FD70E2"/>
    <w:rsid w:val="00FE02B7"/>
    <w:rsid w:val="00FE0721"/>
    <w:rsid w:val="00FE298B"/>
    <w:rsid w:val="00FE322A"/>
    <w:rsid w:val="00FF1D7D"/>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F9A5-508C-495A-A5D9-5C17E8A8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2019-02-12T10:08:00Z</cp:lastPrinted>
  <dcterms:created xsi:type="dcterms:W3CDTF">2019-03-15T10:05:00Z</dcterms:created>
  <dcterms:modified xsi:type="dcterms:W3CDTF">2019-03-15T10:05:00Z</dcterms:modified>
</cp:coreProperties>
</file>