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09609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69192E"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Pr="0069192E">
        <w:rPr>
          <w:rFonts w:ascii="Arial" w:hAnsi="Arial" w:cs="Arial"/>
          <w:b/>
          <w:bCs/>
          <w:color w:val="000000"/>
          <w:lang w:val="en-GB"/>
        </w:rPr>
        <w:t>WRITTEN REPLY</w:t>
      </w:r>
    </w:p>
    <w:p w:rsidR="00F916D5" w:rsidRPr="0069192E" w:rsidRDefault="00F916D5" w:rsidP="00E658C1">
      <w:pPr>
        <w:spacing w:line="360" w:lineRule="auto"/>
        <w:jc w:val="center"/>
        <w:rPr>
          <w:rFonts w:ascii="Arial" w:hAnsi="Arial" w:cs="Arial"/>
          <w:b/>
          <w:bCs/>
          <w:color w:val="000000"/>
          <w:lang w:val="en-GB"/>
        </w:rPr>
      </w:pPr>
      <w:r w:rsidRPr="0069192E">
        <w:rPr>
          <w:rFonts w:ascii="Arial" w:hAnsi="Arial" w:cs="Arial"/>
          <w:b/>
          <w:bCs/>
          <w:color w:val="000000"/>
          <w:lang w:val="en-GB"/>
        </w:rPr>
        <w:t xml:space="preserve">QUESTION NUMBER </w:t>
      </w:r>
      <w:r w:rsidR="006F509E">
        <w:rPr>
          <w:rFonts w:ascii="Arial" w:hAnsi="Arial" w:cs="Arial"/>
          <w:b/>
          <w:bCs/>
          <w:color w:val="000000"/>
          <w:lang w:val="af-ZA"/>
        </w:rPr>
        <w:t>2016</w:t>
      </w:r>
      <w:r w:rsidR="005113F3" w:rsidRPr="005113F3">
        <w:rPr>
          <w:rFonts w:ascii="Arial" w:hAnsi="Arial" w:cs="Arial"/>
          <w:b/>
          <w:bCs/>
          <w:color w:val="000000"/>
          <w:lang w:val="af-ZA"/>
        </w:rPr>
        <w:t>/</w:t>
      </w:r>
      <w:r w:rsidR="006F509E">
        <w:rPr>
          <w:rFonts w:ascii="Arial" w:hAnsi="Arial" w:cs="Arial"/>
          <w:b/>
          <w:bCs/>
          <w:color w:val="000000"/>
          <w:lang w:val="en-ZA"/>
        </w:rPr>
        <w:t>77</w:t>
      </w:r>
    </w:p>
    <w:p w:rsidR="00F916D5" w:rsidRDefault="00F916D5" w:rsidP="00093C72">
      <w:pPr>
        <w:spacing w:line="360" w:lineRule="auto"/>
        <w:ind w:left="720"/>
        <w:jc w:val="center"/>
        <w:rPr>
          <w:rFonts w:ascii="Arial" w:hAnsi="Arial" w:cs="Arial"/>
          <w:b/>
          <w:bCs/>
          <w:lang w:val="en-GB"/>
        </w:rPr>
      </w:pPr>
      <w:r w:rsidRPr="000D2C53">
        <w:rPr>
          <w:rFonts w:ascii="Arial" w:hAnsi="Arial" w:cs="Arial"/>
          <w:b/>
          <w:bCs/>
          <w:lang w:val="en-GB"/>
        </w:rPr>
        <w:t>DATE OF PUBLICATION:</w:t>
      </w:r>
      <w:r w:rsidRPr="002F748D">
        <w:rPr>
          <w:rFonts w:ascii="Arial" w:hAnsi="Arial" w:cs="Arial"/>
          <w:b/>
          <w:bCs/>
          <w:lang w:val="en-GB"/>
        </w:rPr>
        <w:t xml:space="preserve"> </w:t>
      </w:r>
      <w:r w:rsidR="00C671A1">
        <w:rPr>
          <w:rFonts w:ascii="Arial" w:hAnsi="Arial" w:cs="Arial"/>
          <w:b/>
          <w:bCs/>
          <w:lang w:val="en-GB"/>
        </w:rPr>
        <w:t xml:space="preserve">12 FEBRUARY </w:t>
      </w:r>
      <w:r w:rsidR="00093C72" w:rsidRPr="00093C72">
        <w:rPr>
          <w:rFonts w:ascii="Arial" w:hAnsi="Arial" w:cs="Arial"/>
          <w:b/>
          <w:bCs/>
          <w:lang w:val="en-ZA"/>
        </w:rPr>
        <w:t>201</w:t>
      </w:r>
      <w:r w:rsidR="00C671A1">
        <w:rPr>
          <w:rFonts w:ascii="Arial" w:hAnsi="Arial" w:cs="Arial"/>
          <w:b/>
          <w:bCs/>
          <w:lang w:val="en-ZA"/>
        </w:rPr>
        <w:t>6</w:t>
      </w:r>
    </w:p>
    <w:p w:rsidR="00542AD1" w:rsidRPr="00904A52" w:rsidRDefault="00542AD1" w:rsidP="00904A52">
      <w:pPr>
        <w:ind w:left="720"/>
        <w:jc w:val="center"/>
        <w:rPr>
          <w:rFonts w:ascii="Arial" w:hAnsi="Arial" w:cs="Arial"/>
          <w:b/>
          <w:bCs/>
          <w:color w:val="000000"/>
          <w:lang w:val="en-GB"/>
        </w:rPr>
      </w:pPr>
    </w:p>
    <w:p w:rsidR="00E658C1" w:rsidRDefault="00E658C1" w:rsidP="00E658C1">
      <w:pPr>
        <w:spacing w:line="276" w:lineRule="auto"/>
        <w:jc w:val="both"/>
        <w:rPr>
          <w:rFonts w:ascii="Arial" w:hAnsi="Arial" w:cs="Arial"/>
          <w:b/>
          <w:lang w:val="en-ZA"/>
        </w:rPr>
      </w:pPr>
    </w:p>
    <w:p w:rsidR="005113F3" w:rsidRPr="00E658C1" w:rsidRDefault="005113F3" w:rsidP="005113F3">
      <w:pPr>
        <w:spacing w:line="276" w:lineRule="auto"/>
        <w:jc w:val="both"/>
        <w:rPr>
          <w:rFonts w:ascii="Arial" w:hAnsi="Arial" w:cs="Arial"/>
          <w:bCs/>
          <w:lang w:val="en-ZA"/>
        </w:rPr>
      </w:pPr>
    </w:p>
    <w:p w:rsidR="005A1706" w:rsidRDefault="005A1706" w:rsidP="005A1706">
      <w:pPr>
        <w:spacing w:line="276" w:lineRule="auto"/>
        <w:jc w:val="both"/>
        <w:rPr>
          <w:rFonts w:ascii="Arial" w:hAnsi="Arial" w:cs="Arial"/>
          <w:b/>
          <w:bCs/>
          <w:lang w:val="af-ZA"/>
        </w:rPr>
      </w:pPr>
      <w:r w:rsidRPr="005A1706">
        <w:rPr>
          <w:rFonts w:ascii="Arial" w:hAnsi="Arial" w:cs="Arial"/>
          <w:b/>
          <w:bCs/>
          <w:lang w:val="af-ZA"/>
        </w:rPr>
        <w:t>77.</w:t>
      </w:r>
      <w:r w:rsidRPr="005A1706">
        <w:rPr>
          <w:rFonts w:ascii="Arial" w:hAnsi="Arial" w:cs="Arial"/>
          <w:b/>
          <w:bCs/>
          <w:lang w:val="af-ZA"/>
        </w:rPr>
        <w:tab/>
        <w:t>Mr T J Brauteseth (DA) to ask the Minister of Cooperative Governance and Traditional Affairs:</w:t>
      </w:r>
    </w:p>
    <w:p w:rsidR="005A1706" w:rsidRPr="005A1706" w:rsidRDefault="005A1706" w:rsidP="005A1706">
      <w:pPr>
        <w:spacing w:line="276" w:lineRule="auto"/>
        <w:jc w:val="both"/>
        <w:rPr>
          <w:rFonts w:ascii="Arial" w:hAnsi="Arial" w:cs="Arial"/>
          <w:b/>
          <w:bCs/>
          <w:lang w:val="af-ZA"/>
        </w:rPr>
      </w:pPr>
    </w:p>
    <w:p w:rsidR="005A1706" w:rsidRPr="005A1706" w:rsidRDefault="005A1706" w:rsidP="005A1706">
      <w:pPr>
        <w:spacing w:line="276" w:lineRule="auto"/>
        <w:jc w:val="both"/>
        <w:rPr>
          <w:rFonts w:ascii="Arial" w:hAnsi="Arial" w:cs="Arial"/>
          <w:bCs/>
        </w:rPr>
      </w:pPr>
      <w:r w:rsidRPr="005A1706">
        <w:rPr>
          <w:rFonts w:ascii="Arial" w:hAnsi="Arial" w:cs="Arial"/>
          <w:bCs/>
        </w:rPr>
        <w:t>Whether he has entered into a performance agreement with the President, Mr Jacob G Zuma,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plan to address such obstacles?</w:t>
      </w:r>
      <w:r w:rsidRPr="005A1706">
        <w:rPr>
          <w:rFonts w:ascii="Arial" w:hAnsi="Arial" w:cs="Arial"/>
          <w:bCs/>
        </w:rPr>
        <w:tab/>
      </w:r>
      <w:r w:rsidRPr="005A1706">
        <w:rPr>
          <w:rFonts w:ascii="Arial" w:hAnsi="Arial" w:cs="Arial"/>
          <w:bCs/>
        </w:rPr>
        <w:tab/>
      </w:r>
      <w:r w:rsidRPr="005A1706">
        <w:rPr>
          <w:rFonts w:ascii="Arial" w:hAnsi="Arial" w:cs="Arial"/>
          <w:bCs/>
        </w:rPr>
        <w:tab/>
      </w:r>
      <w:r w:rsidRPr="005A1706">
        <w:rPr>
          <w:rFonts w:ascii="Arial" w:hAnsi="Arial" w:cs="Arial"/>
          <w:bCs/>
        </w:rPr>
        <w:tab/>
      </w:r>
      <w:r w:rsidRPr="005A1706">
        <w:rPr>
          <w:rFonts w:ascii="Arial" w:hAnsi="Arial" w:cs="Arial"/>
          <w:bCs/>
        </w:rPr>
        <w:tab/>
      </w:r>
      <w:r w:rsidRPr="005A1706">
        <w:rPr>
          <w:rFonts w:ascii="Arial" w:hAnsi="Arial" w:cs="Arial"/>
          <w:bCs/>
        </w:rPr>
        <w:tab/>
      </w:r>
      <w:r w:rsidRPr="005A1706">
        <w:rPr>
          <w:rFonts w:ascii="Arial" w:hAnsi="Arial" w:cs="Arial"/>
          <w:bCs/>
        </w:rPr>
        <w:tab/>
      </w:r>
    </w:p>
    <w:p w:rsidR="005113F3" w:rsidRDefault="005113F3"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E658C1" w:rsidRDefault="00E658C1" w:rsidP="005113F3">
      <w:pPr>
        <w:spacing w:line="276" w:lineRule="auto"/>
        <w:jc w:val="both"/>
        <w:rPr>
          <w:rFonts w:ascii="Arial" w:hAnsi="Arial" w:cs="Arial"/>
          <w:b/>
          <w:bCs/>
          <w:lang w:val="en-ZA"/>
        </w:rPr>
      </w:pPr>
    </w:p>
    <w:p w:rsidR="005C7B96" w:rsidRDefault="005C7B96" w:rsidP="00E658C1">
      <w:pPr>
        <w:spacing w:line="276" w:lineRule="auto"/>
        <w:jc w:val="both"/>
        <w:rPr>
          <w:rFonts w:ascii="Arial" w:hAnsi="Arial" w:cs="Arial"/>
          <w:b/>
          <w:bCs/>
          <w:lang w:val="en-ZA"/>
        </w:rPr>
        <w:sectPr w:rsidR="005C7B96" w:rsidSect="00E658C1">
          <w:pgSz w:w="12240" w:h="15840"/>
          <w:pgMar w:top="851" w:right="900" w:bottom="709" w:left="1440" w:header="708" w:footer="708" w:gutter="0"/>
          <w:cols w:space="708"/>
          <w:rtlGutter/>
          <w:docGrid w:linePitch="360"/>
        </w:sectPr>
      </w:pPr>
    </w:p>
    <w:p w:rsidR="00E658C1" w:rsidRPr="00E658C1" w:rsidRDefault="00D46223" w:rsidP="00E658C1">
      <w:pPr>
        <w:spacing w:line="276" w:lineRule="auto"/>
        <w:jc w:val="both"/>
        <w:rPr>
          <w:rFonts w:ascii="Arial" w:hAnsi="Arial" w:cs="Arial"/>
          <w:b/>
          <w:bCs/>
          <w:lang w:val="en-GB"/>
        </w:rPr>
      </w:pPr>
      <w:r>
        <w:rPr>
          <w:rFonts w:ascii="Arial" w:hAnsi="Arial" w:cs="Arial"/>
          <w:b/>
          <w:bCs/>
          <w:lang w:val="en-GB"/>
        </w:rPr>
        <w:lastRenderedPageBreak/>
        <w:t>REPLY</w:t>
      </w:r>
      <w:r w:rsidR="00E658C1" w:rsidRPr="00E658C1">
        <w:rPr>
          <w:rFonts w:ascii="Arial" w:hAnsi="Arial" w:cs="Arial"/>
          <w:b/>
          <w:bCs/>
          <w:lang w:val="en-GB"/>
        </w:rPr>
        <w:t>:</w:t>
      </w:r>
    </w:p>
    <w:p w:rsidR="00E658C1" w:rsidRDefault="00E658C1" w:rsidP="00E658C1">
      <w:pPr>
        <w:spacing w:line="276" w:lineRule="auto"/>
        <w:jc w:val="both"/>
        <w:rPr>
          <w:rFonts w:ascii="Arial" w:hAnsi="Arial" w:cs="Arial"/>
          <w:b/>
          <w:bCs/>
          <w:lang w:val="en-GB"/>
        </w:rPr>
      </w:pPr>
    </w:p>
    <w:p w:rsidR="00C671A1" w:rsidRDefault="00C671A1" w:rsidP="00412F30">
      <w:pPr>
        <w:numPr>
          <w:ilvl w:val="0"/>
          <w:numId w:val="1"/>
        </w:numPr>
        <w:spacing w:line="276" w:lineRule="auto"/>
        <w:jc w:val="both"/>
        <w:rPr>
          <w:rFonts w:ascii="Arial" w:hAnsi="Arial" w:cs="Arial"/>
          <w:b/>
          <w:bCs/>
        </w:rPr>
      </w:pPr>
      <w:r w:rsidRPr="00C671A1">
        <w:rPr>
          <w:rFonts w:ascii="Arial" w:hAnsi="Arial" w:cs="Arial"/>
          <w:b/>
          <w:bCs/>
        </w:rPr>
        <w:t>Whether he has entered into a performance agreement with the President, Mr Jacob G Zuma, with regard to the implementation of the Medium-Term Strategic Framework (MTSF) 2014-2019; if not, why not; if so,</w:t>
      </w:r>
    </w:p>
    <w:p w:rsidR="00C671A1" w:rsidRPr="00C671A1" w:rsidRDefault="00C671A1" w:rsidP="005945A4">
      <w:pPr>
        <w:spacing w:line="276" w:lineRule="auto"/>
        <w:jc w:val="both"/>
        <w:rPr>
          <w:rFonts w:ascii="Arial" w:hAnsi="Arial" w:cs="Arial"/>
          <w:bCs/>
        </w:rPr>
      </w:pPr>
    </w:p>
    <w:p w:rsidR="00C671A1" w:rsidRDefault="00A74A74" w:rsidP="00BE058B">
      <w:pPr>
        <w:spacing w:line="276" w:lineRule="auto"/>
        <w:ind w:left="360"/>
        <w:jc w:val="both"/>
        <w:rPr>
          <w:rFonts w:ascii="Arial" w:hAnsi="Arial" w:cs="Arial"/>
          <w:bCs/>
        </w:rPr>
      </w:pPr>
      <w:r>
        <w:rPr>
          <w:rFonts w:ascii="Arial" w:hAnsi="Arial" w:cs="Arial"/>
          <w:bCs/>
        </w:rPr>
        <w:t>The Performance Management Framework for Ministers is the Medium-Term Strategic Framework (MTSF) for 2014-2019, which is the first 5-year implementation plan of the National Development Plan (NDP) 2030. The performance targets and indicators are derived from the 14 Outcomes which government seeks to achieve.</w:t>
      </w:r>
    </w:p>
    <w:p w:rsidR="00A74A74" w:rsidRDefault="00A74A74" w:rsidP="00BE058B">
      <w:pPr>
        <w:spacing w:line="276" w:lineRule="auto"/>
        <w:ind w:left="360"/>
        <w:jc w:val="both"/>
        <w:rPr>
          <w:rFonts w:ascii="Arial" w:hAnsi="Arial" w:cs="Arial"/>
          <w:bCs/>
        </w:rPr>
      </w:pPr>
    </w:p>
    <w:p w:rsidR="00A74A74" w:rsidRDefault="00A74A74" w:rsidP="00BE058B">
      <w:pPr>
        <w:spacing w:line="276" w:lineRule="auto"/>
        <w:ind w:left="360"/>
        <w:jc w:val="both"/>
        <w:rPr>
          <w:rFonts w:ascii="Arial" w:hAnsi="Arial" w:cs="Arial"/>
          <w:bCs/>
        </w:rPr>
      </w:pPr>
      <w:r>
        <w:rPr>
          <w:rFonts w:ascii="Arial" w:hAnsi="Arial" w:cs="Arial"/>
          <w:bCs/>
        </w:rPr>
        <w:t>These Outcomes and targets constitute government’s Programme of Action (POA), against which performance is tracked and reported at least on a quarterly basis. POA reports are publicly available on the government’s website.</w:t>
      </w:r>
    </w:p>
    <w:p w:rsidR="00A74A74" w:rsidRDefault="00A74A74" w:rsidP="005945A4">
      <w:pPr>
        <w:spacing w:line="276" w:lineRule="auto"/>
        <w:ind w:left="360"/>
        <w:rPr>
          <w:rFonts w:ascii="Arial" w:hAnsi="Arial" w:cs="Arial"/>
          <w:bCs/>
        </w:rPr>
      </w:pPr>
    </w:p>
    <w:p w:rsidR="007156B2" w:rsidRPr="007156B2" w:rsidRDefault="007156B2" w:rsidP="00BB7E69">
      <w:pPr>
        <w:spacing w:line="276" w:lineRule="auto"/>
        <w:jc w:val="both"/>
        <w:rPr>
          <w:rFonts w:ascii="Arial" w:hAnsi="Arial" w:cs="Arial"/>
          <w:b/>
          <w:bCs/>
        </w:rPr>
      </w:pPr>
      <w:r w:rsidRPr="007156B2">
        <w:rPr>
          <w:rFonts w:ascii="Arial" w:hAnsi="Arial" w:cs="Arial"/>
          <w:b/>
          <w:bCs/>
        </w:rPr>
        <w:t>(a) Which key indicators and targets from the MTSF are reflected in the agreement?</w:t>
      </w:r>
    </w:p>
    <w:p w:rsidR="007156B2" w:rsidRDefault="007156B2" w:rsidP="00BB7E69">
      <w:pPr>
        <w:spacing w:line="276" w:lineRule="auto"/>
        <w:jc w:val="both"/>
        <w:rPr>
          <w:rFonts w:ascii="Arial" w:hAnsi="Arial" w:cs="Arial"/>
          <w:bCs/>
        </w:rPr>
      </w:pPr>
    </w:p>
    <w:p w:rsidR="00865F14" w:rsidRDefault="00865F14" w:rsidP="00865F14">
      <w:pPr>
        <w:spacing w:line="276" w:lineRule="auto"/>
        <w:jc w:val="both"/>
        <w:rPr>
          <w:rFonts w:ascii="Arial" w:hAnsi="Arial" w:cs="Arial"/>
          <w:bCs/>
          <w:lang w:val="en-ZA"/>
        </w:rPr>
      </w:pPr>
      <w:r w:rsidRPr="00865F14">
        <w:rPr>
          <w:rFonts w:ascii="Arial" w:hAnsi="Arial" w:cs="Arial"/>
          <w:bCs/>
          <w:lang w:val="en-ZA"/>
        </w:rPr>
        <w:t xml:space="preserve">Key targets for the MTSF include: </w:t>
      </w:r>
    </w:p>
    <w:p w:rsidR="00865F14" w:rsidRPr="00865F14" w:rsidRDefault="00865F14" w:rsidP="00865F14">
      <w:pPr>
        <w:spacing w:line="276" w:lineRule="auto"/>
        <w:jc w:val="both"/>
        <w:rPr>
          <w:rFonts w:ascii="Arial" w:hAnsi="Arial" w:cs="Arial"/>
          <w:bCs/>
          <w:lang w:val="en-ZA"/>
        </w:rPr>
      </w:pPr>
    </w:p>
    <w:p w:rsidR="00865F14" w:rsidRPr="00865F14" w:rsidRDefault="00865F14" w:rsidP="00412F30">
      <w:pPr>
        <w:numPr>
          <w:ilvl w:val="0"/>
          <w:numId w:val="2"/>
        </w:numPr>
        <w:spacing w:line="276" w:lineRule="auto"/>
        <w:jc w:val="both"/>
        <w:rPr>
          <w:rFonts w:ascii="Arial" w:hAnsi="Arial" w:cs="Arial"/>
          <w:bCs/>
          <w:lang w:val="en-ZA"/>
        </w:rPr>
      </w:pPr>
      <w:r w:rsidRPr="00865F14">
        <w:rPr>
          <w:rFonts w:ascii="Arial" w:hAnsi="Arial" w:cs="Arial"/>
          <w:bCs/>
          <w:lang w:val="en-ZA"/>
        </w:rPr>
        <w:t xml:space="preserve">Increase in the percentage of households with access to a functional water service from 85% in 2013 to 90% by 2019. </w:t>
      </w:r>
    </w:p>
    <w:p w:rsidR="00865F14" w:rsidRDefault="00865F14" w:rsidP="00412F30">
      <w:pPr>
        <w:numPr>
          <w:ilvl w:val="0"/>
          <w:numId w:val="2"/>
        </w:numPr>
        <w:spacing w:line="276" w:lineRule="auto"/>
        <w:jc w:val="both"/>
        <w:rPr>
          <w:rFonts w:ascii="Arial" w:hAnsi="Arial" w:cs="Arial"/>
          <w:bCs/>
          <w:lang w:val="en-ZA"/>
        </w:rPr>
      </w:pPr>
      <w:r w:rsidRPr="00865F14">
        <w:rPr>
          <w:rFonts w:ascii="Arial" w:hAnsi="Arial" w:cs="Arial"/>
          <w:bCs/>
          <w:lang w:val="en-ZA"/>
        </w:rPr>
        <w:t xml:space="preserve">Increase in the percentage of households with access to a functional sanitation service from 84% in 2013 to 90% by 2019, including elimination of bucket </w:t>
      </w:r>
      <w:r>
        <w:rPr>
          <w:rFonts w:ascii="Arial" w:hAnsi="Arial" w:cs="Arial"/>
          <w:bCs/>
          <w:lang w:val="en-ZA"/>
        </w:rPr>
        <w:t>sanitation in the formal areas.</w:t>
      </w:r>
    </w:p>
    <w:p w:rsidR="00865F14" w:rsidRPr="00865F14" w:rsidRDefault="00865F14" w:rsidP="00412F30">
      <w:pPr>
        <w:numPr>
          <w:ilvl w:val="0"/>
          <w:numId w:val="2"/>
        </w:numPr>
        <w:spacing w:line="276" w:lineRule="auto"/>
        <w:jc w:val="both"/>
        <w:rPr>
          <w:rFonts w:ascii="Arial" w:hAnsi="Arial" w:cs="Arial"/>
          <w:bCs/>
          <w:lang w:val="en-ZA"/>
        </w:rPr>
      </w:pPr>
      <w:r>
        <w:rPr>
          <w:rFonts w:ascii="Arial" w:hAnsi="Arial" w:cs="Arial"/>
          <w:bCs/>
          <w:lang w:val="en-ZA"/>
        </w:rPr>
        <w:t xml:space="preserve">1.4 </w:t>
      </w:r>
      <w:r w:rsidRPr="00865F14">
        <w:rPr>
          <w:rFonts w:ascii="Arial" w:hAnsi="Arial" w:cs="Arial"/>
          <w:bCs/>
          <w:lang w:val="en-ZA"/>
        </w:rPr>
        <w:t>million</w:t>
      </w:r>
      <w:r>
        <w:rPr>
          <w:rFonts w:ascii="Arial" w:hAnsi="Arial" w:cs="Arial"/>
          <w:bCs/>
          <w:lang w:val="en-ZA"/>
        </w:rPr>
        <w:t xml:space="preserve"> </w:t>
      </w:r>
      <w:r w:rsidR="00BE058B" w:rsidRPr="00865F14">
        <w:rPr>
          <w:rFonts w:ascii="Arial" w:hAnsi="Arial" w:cs="Arial"/>
          <w:bCs/>
          <w:lang w:val="en-ZA"/>
        </w:rPr>
        <w:t>Additional</w:t>
      </w:r>
      <w:r w:rsidRPr="00865F14">
        <w:rPr>
          <w:rFonts w:ascii="Arial" w:hAnsi="Arial" w:cs="Arial"/>
          <w:bCs/>
          <w:lang w:val="en-ZA"/>
        </w:rPr>
        <w:t xml:space="preserve"> households to be connected to the grid between 2014 and 2019, and 105 000 additional non-grid connections. </w:t>
      </w:r>
    </w:p>
    <w:p w:rsidR="00865F14" w:rsidRPr="00865F14" w:rsidRDefault="00865F14" w:rsidP="00412F30">
      <w:pPr>
        <w:numPr>
          <w:ilvl w:val="0"/>
          <w:numId w:val="2"/>
        </w:numPr>
        <w:spacing w:line="276" w:lineRule="auto"/>
        <w:jc w:val="both"/>
        <w:rPr>
          <w:rFonts w:ascii="Arial" w:hAnsi="Arial" w:cs="Arial"/>
          <w:bCs/>
          <w:lang w:val="en-ZA"/>
        </w:rPr>
      </w:pPr>
      <w:r w:rsidRPr="00865F14">
        <w:rPr>
          <w:rFonts w:ascii="Arial" w:hAnsi="Arial" w:cs="Arial"/>
          <w:bCs/>
          <w:lang w:val="en-ZA"/>
        </w:rPr>
        <w:t xml:space="preserve">An increase in the level of public trust and confidence in local government from 51% in 2012 to 65% in 2019, as measured by the IPSOS survey. </w:t>
      </w:r>
    </w:p>
    <w:p w:rsidR="00865F14" w:rsidRPr="00865F14" w:rsidRDefault="00865F14" w:rsidP="00412F30">
      <w:pPr>
        <w:numPr>
          <w:ilvl w:val="0"/>
          <w:numId w:val="2"/>
        </w:numPr>
        <w:spacing w:line="276" w:lineRule="auto"/>
        <w:jc w:val="both"/>
        <w:rPr>
          <w:rFonts w:ascii="Arial" w:hAnsi="Arial" w:cs="Arial"/>
          <w:bCs/>
          <w:lang w:val="en-ZA"/>
        </w:rPr>
      </w:pPr>
      <w:r w:rsidRPr="00865F14">
        <w:rPr>
          <w:rFonts w:ascii="Arial" w:hAnsi="Arial" w:cs="Arial"/>
          <w:bCs/>
          <w:lang w:val="en-ZA"/>
        </w:rPr>
        <w:t xml:space="preserve">An improvement in overall municipal audit outcomes, with at least 75% of municipalities receiving unqualified audits by 2019. </w:t>
      </w:r>
    </w:p>
    <w:p w:rsidR="00865F14" w:rsidRPr="00865F14" w:rsidRDefault="00865F14" w:rsidP="00412F30">
      <w:pPr>
        <w:numPr>
          <w:ilvl w:val="0"/>
          <w:numId w:val="2"/>
        </w:numPr>
        <w:spacing w:line="276" w:lineRule="auto"/>
        <w:jc w:val="both"/>
        <w:rPr>
          <w:rFonts w:ascii="Arial" w:hAnsi="Arial" w:cs="Arial"/>
          <w:bCs/>
          <w:lang w:val="en-ZA"/>
        </w:rPr>
      </w:pPr>
      <w:r w:rsidRPr="00865F14">
        <w:rPr>
          <w:rFonts w:ascii="Arial" w:hAnsi="Arial" w:cs="Arial"/>
          <w:bCs/>
          <w:lang w:val="en-ZA"/>
        </w:rPr>
        <w:t xml:space="preserve">Income support to the unemployed through expansion of the Community Work Programme to reach 1 million participants in 2019. </w:t>
      </w:r>
    </w:p>
    <w:p w:rsidR="007156B2" w:rsidRDefault="007156B2" w:rsidP="00BB7E69">
      <w:pPr>
        <w:spacing w:line="276" w:lineRule="auto"/>
        <w:jc w:val="both"/>
        <w:rPr>
          <w:rFonts w:ascii="Arial" w:hAnsi="Arial" w:cs="Arial"/>
          <w:bCs/>
        </w:rPr>
      </w:pPr>
    </w:p>
    <w:p w:rsidR="007156B2" w:rsidRPr="007156B2" w:rsidRDefault="007156B2" w:rsidP="00BB7E69">
      <w:pPr>
        <w:spacing w:line="276" w:lineRule="auto"/>
        <w:jc w:val="both"/>
        <w:rPr>
          <w:rFonts w:ascii="Arial" w:hAnsi="Arial" w:cs="Arial"/>
          <w:b/>
          <w:bCs/>
        </w:rPr>
      </w:pPr>
      <w:r w:rsidRPr="007156B2">
        <w:rPr>
          <w:rFonts w:ascii="Arial" w:hAnsi="Arial" w:cs="Arial"/>
          <w:b/>
          <w:bCs/>
        </w:rPr>
        <w:t>(b) How many performance assessments has he undertaken in consultation with the President since the agreement was signed?</w:t>
      </w:r>
    </w:p>
    <w:p w:rsidR="007156B2" w:rsidRDefault="007156B2" w:rsidP="00BB7E69">
      <w:pPr>
        <w:spacing w:line="276" w:lineRule="auto"/>
        <w:jc w:val="both"/>
        <w:rPr>
          <w:rFonts w:ascii="Arial" w:hAnsi="Arial" w:cs="Arial"/>
          <w:bCs/>
        </w:rPr>
      </w:pPr>
    </w:p>
    <w:p w:rsidR="00D12C62" w:rsidRDefault="00A74A74" w:rsidP="00BB7E69">
      <w:pPr>
        <w:spacing w:line="276" w:lineRule="auto"/>
        <w:jc w:val="both"/>
        <w:rPr>
          <w:rFonts w:ascii="Arial" w:hAnsi="Arial" w:cs="Arial"/>
          <w:bCs/>
        </w:rPr>
      </w:pPr>
      <w:r>
        <w:rPr>
          <w:rFonts w:ascii="Arial" w:hAnsi="Arial" w:cs="Arial"/>
          <w:bCs/>
        </w:rPr>
        <w:t xml:space="preserve">Cabinet closely monitors the implementation of the NDP 2030/MTSF 2014-2019 through POA reports. These reports are tabled before an Implementation Forum of a Cluster of Ministers collectively responsible for MTSF Outcomes and then submitted to Cabinet, where progress is noted, bottlenecks to implementation are discussed and recommendations to address bottlenecks are considered and approved. </w:t>
      </w:r>
    </w:p>
    <w:p w:rsidR="00A74A74" w:rsidRDefault="00A74A74" w:rsidP="00BB7E69">
      <w:pPr>
        <w:spacing w:line="276" w:lineRule="auto"/>
        <w:jc w:val="both"/>
        <w:rPr>
          <w:rFonts w:ascii="Arial" w:hAnsi="Arial" w:cs="Arial"/>
          <w:bCs/>
        </w:rPr>
        <w:sectPr w:rsidR="00A74A74" w:rsidSect="00865F14">
          <w:pgSz w:w="12240" w:h="15840"/>
          <w:pgMar w:top="851" w:right="902" w:bottom="709" w:left="1440" w:header="709" w:footer="709" w:gutter="0"/>
          <w:cols w:space="708"/>
          <w:rtlGutter/>
          <w:docGrid w:linePitch="360"/>
        </w:sectPr>
      </w:pPr>
    </w:p>
    <w:p w:rsidR="00D12C62" w:rsidRDefault="007156B2" w:rsidP="00BB7E69">
      <w:pPr>
        <w:spacing w:line="276" w:lineRule="auto"/>
        <w:jc w:val="both"/>
        <w:rPr>
          <w:rFonts w:ascii="Arial" w:hAnsi="Arial" w:cs="Arial"/>
          <w:b/>
          <w:bCs/>
        </w:rPr>
      </w:pPr>
      <w:r w:rsidRPr="00D12C62">
        <w:rPr>
          <w:rFonts w:ascii="Arial" w:hAnsi="Arial" w:cs="Arial"/>
          <w:b/>
          <w:bCs/>
        </w:rPr>
        <w:lastRenderedPageBreak/>
        <w:t>(c) What progress has been made in meeting the key indi</w:t>
      </w:r>
      <w:r w:rsidR="003E4628">
        <w:rPr>
          <w:rFonts w:ascii="Arial" w:hAnsi="Arial" w:cs="Arial"/>
          <w:b/>
          <w:bCs/>
        </w:rPr>
        <w:t xml:space="preserve">cators and targets from the </w:t>
      </w:r>
      <w:r w:rsidR="008413CB">
        <w:rPr>
          <w:rFonts w:ascii="Arial" w:hAnsi="Arial" w:cs="Arial"/>
          <w:b/>
          <w:bCs/>
        </w:rPr>
        <w:t>MTSF?</w:t>
      </w:r>
    </w:p>
    <w:p w:rsidR="002A0753" w:rsidRDefault="002A0753" w:rsidP="00BB7E69">
      <w:pPr>
        <w:spacing w:line="276" w:lineRule="auto"/>
        <w:jc w:val="both"/>
        <w:rPr>
          <w:rFonts w:ascii="Arial" w:hAnsi="Arial" w:cs="Arial"/>
          <w:bCs/>
        </w:rPr>
      </w:pPr>
    </w:p>
    <w:p w:rsidR="002A0753" w:rsidRDefault="00CB5D20" w:rsidP="002A0753">
      <w:pPr>
        <w:spacing w:line="276" w:lineRule="auto"/>
        <w:jc w:val="both"/>
        <w:rPr>
          <w:rFonts w:ascii="Arial" w:hAnsi="Arial" w:cs="Arial"/>
          <w:bCs/>
          <w:lang w:val="en-GB"/>
        </w:rPr>
      </w:pPr>
      <w:r>
        <w:rPr>
          <w:rFonts w:ascii="Arial" w:hAnsi="Arial" w:cs="Arial"/>
          <w:bCs/>
          <w:lang w:val="en-GB"/>
        </w:rPr>
        <w:t>This response is ba</w:t>
      </w:r>
      <w:r w:rsidR="002A0753" w:rsidRPr="00D12C62">
        <w:rPr>
          <w:rFonts w:ascii="Arial" w:hAnsi="Arial" w:cs="Arial"/>
          <w:bCs/>
          <w:lang w:val="en-GB"/>
        </w:rPr>
        <w:t xml:space="preserve">sed </w:t>
      </w:r>
      <w:r>
        <w:rPr>
          <w:rFonts w:ascii="Arial" w:hAnsi="Arial" w:cs="Arial"/>
          <w:bCs/>
          <w:lang w:val="en-GB"/>
        </w:rPr>
        <w:t xml:space="preserve">on information received </w:t>
      </w:r>
      <w:r w:rsidR="00B0596E">
        <w:rPr>
          <w:rFonts w:ascii="Arial" w:hAnsi="Arial" w:cs="Arial"/>
          <w:bCs/>
          <w:lang w:val="en-GB"/>
        </w:rPr>
        <w:t xml:space="preserve">from </w:t>
      </w:r>
      <w:r w:rsidR="008413CB">
        <w:rPr>
          <w:rFonts w:ascii="Arial" w:hAnsi="Arial" w:cs="Arial"/>
          <w:bCs/>
          <w:lang w:val="en-GB"/>
        </w:rPr>
        <w:t>Department of Water and Sanitation, Energy, Environmental Affairs, Planning, Monitoring and Evaluation and National Treasury</w:t>
      </w:r>
      <w:r w:rsidR="00B0596E">
        <w:rPr>
          <w:rFonts w:ascii="Arial" w:hAnsi="Arial" w:cs="Arial"/>
          <w:bCs/>
          <w:lang w:val="en-GB"/>
        </w:rPr>
        <w:t xml:space="preserve"> and Government Communication and Information Systems (GCIS). Progress provided hereunder on basic services is as at April 2015. The impact of the key indicators and targets is measured annually by sector departments. </w:t>
      </w:r>
      <w:r w:rsidR="00577354">
        <w:rPr>
          <w:rFonts w:ascii="Arial" w:hAnsi="Arial" w:cs="Arial"/>
          <w:bCs/>
          <w:lang w:val="en-GB"/>
        </w:rPr>
        <w:t>As a result, t</w:t>
      </w:r>
      <w:r w:rsidR="002A0753" w:rsidRPr="00D12C62">
        <w:rPr>
          <w:rFonts w:ascii="Arial" w:hAnsi="Arial" w:cs="Arial"/>
          <w:bCs/>
          <w:lang w:val="en-GB"/>
        </w:rPr>
        <w:t xml:space="preserve">he </w:t>
      </w:r>
      <w:r w:rsidR="00B0596E">
        <w:rPr>
          <w:rFonts w:ascii="Arial" w:hAnsi="Arial" w:cs="Arial"/>
          <w:bCs/>
          <w:lang w:val="en-GB"/>
        </w:rPr>
        <w:t>latest measurement</w:t>
      </w:r>
      <w:r w:rsidR="00473FAA">
        <w:rPr>
          <w:rFonts w:ascii="Arial" w:hAnsi="Arial" w:cs="Arial"/>
          <w:bCs/>
          <w:lang w:val="en-GB"/>
        </w:rPr>
        <w:t xml:space="preserve"> as at end of March 2016</w:t>
      </w:r>
      <w:r w:rsidR="00B0596E">
        <w:rPr>
          <w:rFonts w:ascii="Arial" w:hAnsi="Arial" w:cs="Arial"/>
          <w:bCs/>
          <w:lang w:val="en-GB"/>
        </w:rPr>
        <w:t xml:space="preserve"> on the key indicators and targets </w:t>
      </w:r>
      <w:r w:rsidR="002A0753" w:rsidRPr="00D12C62">
        <w:rPr>
          <w:rFonts w:ascii="Arial" w:hAnsi="Arial" w:cs="Arial"/>
          <w:bCs/>
          <w:lang w:val="en-GB"/>
        </w:rPr>
        <w:t xml:space="preserve">will be provided to the honourable member as soon as it has been </w:t>
      </w:r>
      <w:r w:rsidR="00577354">
        <w:rPr>
          <w:rFonts w:ascii="Arial" w:hAnsi="Arial" w:cs="Arial"/>
          <w:bCs/>
          <w:lang w:val="en-GB"/>
        </w:rPr>
        <w:t xml:space="preserve">finalised by </w:t>
      </w:r>
      <w:r w:rsidR="00B0596E">
        <w:rPr>
          <w:rFonts w:ascii="Arial" w:hAnsi="Arial" w:cs="Arial"/>
          <w:bCs/>
          <w:lang w:val="en-GB"/>
        </w:rPr>
        <w:t>respective Outcome 9 delivery partners.</w:t>
      </w:r>
    </w:p>
    <w:p w:rsidR="006C79A9" w:rsidRDefault="006C79A9" w:rsidP="00BB7E69">
      <w:pPr>
        <w:spacing w:line="276" w:lineRule="auto"/>
        <w:jc w:val="both"/>
        <w:rPr>
          <w:rFonts w:ascii="Arial" w:hAnsi="Arial" w:cs="Arial"/>
          <w:lang w:val="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267"/>
        <w:gridCol w:w="2409"/>
        <w:gridCol w:w="6804"/>
        <w:gridCol w:w="1348"/>
      </w:tblGrid>
      <w:tr w:rsidR="00D12C62" w:rsidRPr="005F35C0" w:rsidTr="000B1CD6">
        <w:trPr>
          <w:trHeight w:val="446"/>
          <w:tblHeader/>
        </w:trPr>
        <w:tc>
          <w:tcPr>
            <w:tcW w:w="575" w:type="pct"/>
            <w:shd w:val="clear" w:color="auto" w:fill="9CC2E5"/>
            <w:noWrap/>
          </w:tcPr>
          <w:p w:rsidR="00D12C62" w:rsidRPr="005F35C0" w:rsidRDefault="00D12C62" w:rsidP="00D12C62">
            <w:pPr>
              <w:spacing w:line="276" w:lineRule="auto"/>
              <w:jc w:val="both"/>
              <w:rPr>
                <w:rFonts w:ascii="Arial" w:hAnsi="Arial" w:cs="Arial"/>
                <w:b/>
                <w:bCs/>
                <w:sz w:val="22"/>
                <w:szCs w:val="22"/>
                <w:lang w:val="en-GB"/>
              </w:rPr>
            </w:pPr>
            <w:r w:rsidRPr="005F35C0">
              <w:rPr>
                <w:rFonts w:ascii="Arial" w:hAnsi="Arial" w:cs="Arial"/>
                <w:b/>
                <w:bCs/>
                <w:sz w:val="22"/>
                <w:szCs w:val="22"/>
                <w:lang w:val="en-GB"/>
              </w:rPr>
              <w:t>Indicator</w:t>
            </w:r>
          </w:p>
        </w:tc>
        <w:tc>
          <w:tcPr>
            <w:tcW w:w="782" w:type="pct"/>
            <w:shd w:val="clear" w:color="auto" w:fill="9CC2E5"/>
            <w:noWrap/>
          </w:tcPr>
          <w:p w:rsidR="00D12C62" w:rsidRPr="005F35C0" w:rsidRDefault="00D12C62" w:rsidP="00D12C62">
            <w:pPr>
              <w:spacing w:line="276" w:lineRule="auto"/>
              <w:jc w:val="both"/>
              <w:rPr>
                <w:rFonts w:ascii="Arial" w:hAnsi="Arial" w:cs="Arial"/>
                <w:b/>
                <w:bCs/>
                <w:sz w:val="22"/>
                <w:szCs w:val="22"/>
                <w:lang w:val="en-GB"/>
              </w:rPr>
            </w:pPr>
            <w:r w:rsidRPr="005F35C0">
              <w:rPr>
                <w:rFonts w:ascii="Arial" w:hAnsi="Arial" w:cs="Arial"/>
                <w:b/>
                <w:bCs/>
                <w:sz w:val="22"/>
                <w:szCs w:val="22"/>
                <w:lang w:val="en-GB"/>
              </w:rPr>
              <w:t>Baseline</w:t>
            </w:r>
          </w:p>
        </w:tc>
        <w:tc>
          <w:tcPr>
            <w:tcW w:w="831" w:type="pct"/>
            <w:shd w:val="clear" w:color="auto" w:fill="9CC2E5"/>
            <w:noWrap/>
          </w:tcPr>
          <w:p w:rsidR="00D12C62" w:rsidRPr="005F35C0" w:rsidRDefault="00D12C62" w:rsidP="00D12C62">
            <w:pPr>
              <w:spacing w:line="276" w:lineRule="auto"/>
              <w:jc w:val="both"/>
              <w:rPr>
                <w:rFonts w:ascii="Arial" w:hAnsi="Arial" w:cs="Arial"/>
                <w:b/>
                <w:bCs/>
                <w:sz w:val="22"/>
                <w:szCs w:val="22"/>
                <w:lang w:val="en-GB"/>
              </w:rPr>
            </w:pPr>
            <w:r w:rsidRPr="005F35C0">
              <w:rPr>
                <w:rFonts w:ascii="Arial" w:hAnsi="Arial" w:cs="Arial"/>
                <w:b/>
                <w:bCs/>
                <w:sz w:val="22"/>
                <w:szCs w:val="22"/>
                <w:lang w:val="en-GB"/>
              </w:rPr>
              <w:t>Target</w:t>
            </w:r>
          </w:p>
        </w:tc>
        <w:tc>
          <w:tcPr>
            <w:tcW w:w="2347" w:type="pct"/>
            <w:shd w:val="clear" w:color="auto" w:fill="9CC2E5"/>
          </w:tcPr>
          <w:p w:rsidR="00D12C62" w:rsidRPr="005F35C0" w:rsidRDefault="008413CB" w:rsidP="00D12C62">
            <w:pPr>
              <w:spacing w:line="276" w:lineRule="auto"/>
              <w:jc w:val="both"/>
              <w:rPr>
                <w:rFonts w:ascii="Arial" w:hAnsi="Arial" w:cs="Arial"/>
                <w:b/>
                <w:bCs/>
                <w:sz w:val="22"/>
                <w:szCs w:val="22"/>
                <w:lang w:val="en-GB"/>
              </w:rPr>
            </w:pPr>
            <w:r w:rsidRPr="005F35C0">
              <w:rPr>
                <w:rFonts w:ascii="Arial" w:hAnsi="Arial" w:cs="Arial"/>
                <w:b/>
                <w:bCs/>
                <w:sz w:val="22"/>
                <w:szCs w:val="22"/>
                <w:lang w:val="en-GB"/>
              </w:rPr>
              <w:t xml:space="preserve">Progress </w:t>
            </w:r>
          </w:p>
        </w:tc>
        <w:tc>
          <w:tcPr>
            <w:tcW w:w="465" w:type="pct"/>
            <w:shd w:val="clear" w:color="auto" w:fill="9CC2E5"/>
          </w:tcPr>
          <w:p w:rsidR="00D12C62" w:rsidRPr="005F35C0" w:rsidRDefault="00D12C62" w:rsidP="00D12C62">
            <w:pPr>
              <w:spacing w:line="276" w:lineRule="auto"/>
              <w:jc w:val="both"/>
              <w:rPr>
                <w:rFonts w:ascii="Arial" w:hAnsi="Arial" w:cs="Arial"/>
                <w:b/>
                <w:bCs/>
                <w:sz w:val="22"/>
                <w:szCs w:val="22"/>
                <w:lang w:val="en-GB"/>
              </w:rPr>
            </w:pPr>
            <w:r w:rsidRPr="005F35C0">
              <w:rPr>
                <w:rFonts w:ascii="Arial" w:hAnsi="Arial" w:cs="Arial"/>
                <w:b/>
                <w:bCs/>
                <w:sz w:val="22"/>
                <w:szCs w:val="22"/>
                <w:lang w:val="en-GB"/>
              </w:rPr>
              <w:t>Progress rating</w:t>
            </w:r>
          </w:p>
        </w:tc>
      </w:tr>
      <w:tr w:rsidR="00D12C62" w:rsidRPr="005F35C0" w:rsidTr="000B1CD6">
        <w:trPr>
          <w:trHeight w:val="70"/>
        </w:trPr>
        <w:tc>
          <w:tcPr>
            <w:tcW w:w="575" w:type="pct"/>
            <w:vMerge w:val="restart"/>
            <w:shd w:val="clear" w:color="auto" w:fill="auto"/>
          </w:tcPr>
          <w:p w:rsidR="00D12C62" w:rsidRPr="005F35C0" w:rsidRDefault="00D12C62" w:rsidP="000B1CD6">
            <w:pPr>
              <w:spacing w:line="276" w:lineRule="auto"/>
              <w:rPr>
                <w:rFonts w:ascii="Arial" w:hAnsi="Arial" w:cs="Arial"/>
                <w:sz w:val="22"/>
                <w:szCs w:val="22"/>
                <w:lang w:val="en-GB"/>
              </w:rPr>
            </w:pPr>
            <w:r w:rsidRPr="005F35C0">
              <w:rPr>
                <w:rFonts w:ascii="Arial" w:hAnsi="Arial" w:cs="Arial"/>
                <w:sz w:val="22"/>
                <w:szCs w:val="22"/>
                <w:lang w:val="en-GB"/>
              </w:rPr>
              <w:t>Number or percentage of hhs with access to a functional service at acceptable levels as per norms and standards</w:t>
            </w:r>
          </w:p>
        </w:tc>
        <w:tc>
          <w:tcPr>
            <w:tcW w:w="782" w:type="pct"/>
            <w:shd w:val="clear" w:color="auto" w:fill="auto"/>
          </w:tcPr>
          <w:p w:rsidR="00D12C62" w:rsidRPr="005F35C0" w:rsidRDefault="00D12C62" w:rsidP="000B1CD6">
            <w:pPr>
              <w:spacing w:line="276" w:lineRule="auto"/>
              <w:rPr>
                <w:rFonts w:ascii="Arial" w:hAnsi="Arial" w:cs="Arial"/>
                <w:sz w:val="22"/>
                <w:szCs w:val="22"/>
                <w:lang w:val="en-GB"/>
              </w:rPr>
            </w:pPr>
            <w:r w:rsidRPr="005F35C0">
              <w:rPr>
                <w:rFonts w:ascii="Arial" w:hAnsi="Arial" w:cs="Arial"/>
                <w:sz w:val="22"/>
                <w:szCs w:val="22"/>
                <w:lang w:val="en-GB"/>
              </w:rPr>
              <w:t>Water: 85% operational service</w:t>
            </w:r>
          </w:p>
          <w:p w:rsidR="00D12C62" w:rsidRPr="005F35C0" w:rsidRDefault="00D12C62" w:rsidP="000B1CD6">
            <w:pPr>
              <w:spacing w:line="276" w:lineRule="auto"/>
              <w:rPr>
                <w:rFonts w:ascii="Arial" w:hAnsi="Arial" w:cs="Arial"/>
                <w:sz w:val="22"/>
                <w:szCs w:val="22"/>
                <w:lang w:val="en-GB"/>
              </w:rPr>
            </w:pPr>
          </w:p>
          <w:p w:rsidR="00D12C62" w:rsidRPr="005F35C0" w:rsidRDefault="00D12C62" w:rsidP="000B1CD6">
            <w:pPr>
              <w:spacing w:line="276" w:lineRule="auto"/>
              <w:rPr>
                <w:rFonts w:ascii="Arial" w:hAnsi="Arial" w:cs="Arial"/>
                <w:sz w:val="22"/>
                <w:szCs w:val="22"/>
                <w:lang w:val="en-GB"/>
              </w:rPr>
            </w:pPr>
            <w:r w:rsidRPr="005F35C0">
              <w:rPr>
                <w:rFonts w:ascii="Arial" w:hAnsi="Arial" w:cs="Arial"/>
                <w:sz w:val="22"/>
                <w:szCs w:val="22"/>
                <w:lang w:val="en-GB"/>
              </w:rPr>
              <w:t>65% reliable service as benchmarked by Census 2011 (this equates to 85% operational service)</w:t>
            </w:r>
          </w:p>
        </w:tc>
        <w:tc>
          <w:tcPr>
            <w:tcW w:w="831" w:type="pct"/>
            <w:shd w:val="clear" w:color="auto" w:fill="auto"/>
          </w:tcPr>
          <w:p w:rsidR="00D12C62" w:rsidRPr="005F35C0" w:rsidRDefault="00D12C62" w:rsidP="000B1CD6">
            <w:pPr>
              <w:spacing w:line="276" w:lineRule="auto"/>
              <w:rPr>
                <w:rFonts w:ascii="Arial" w:hAnsi="Arial" w:cs="Arial"/>
                <w:sz w:val="22"/>
                <w:szCs w:val="22"/>
                <w:lang w:val="en-GB"/>
              </w:rPr>
            </w:pPr>
            <w:r w:rsidRPr="005F35C0">
              <w:rPr>
                <w:rFonts w:ascii="Arial" w:hAnsi="Arial" w:cs="Arial"/>
                <w:sz w:val="22"/>
                <w:szCs w:val="22"/>
                <w:lang w:val="en-GB"/>
              </w:rPr>
              <w:t>90%  by 2019</w:t>
            </w:r>
          </w:p>
        </w:tc>
        <w:tc>
          <w:tcPr>
            <w:tcW w:w="2347" w:type="pct"/>
            <w:shd w:val="clear" w:color="auto" w:fill="FFFFFF"/>
          </w:tcPr>
          <w:p w:rsidR="00F01667" w:rsidRPr="00F01667" w:rsidRDefault="00F01667" w:rsidP="00F01667">
            <w:pPr>
              <w:spacing w:line="276" w:lineRule="auto"/>
              <w:rPr>
                <w:rFonts w:ascii="Arial" w:hAnsi="Arial" w:cs="Arial"/>
                <w:sz w:val="22"/>
                <w:szCs w:val="22"/>
              </w:rPr>
            </w:pPr>
            <w:r w:rsidRPr="00F01667">
              <w:rPr>
                <w:rFonts w:ascii="Arial" w:hAnsi="Arial" w:cs="Arial"/>
                <w:sz w:val="22"/>
                <w:szCs w:val="22"/>
              </w:rPr>
              <w:t xml:space="preserve">Access to Water Infrastructure increased from </w:t>
            </w:r>
            <w:r w:rsidRPr="00A74A74">
              <w:rPr>
                <w:rFonts w:ascii="Arial" w:hAnsi="Arial" w:cs="Arial"/>
                <w:bCs/>
                <w:sz w:val="22"/>
                <w:szCs w:val="22"/>
              </w:rPr>
              <w:t>96.2%</w:t>
            </w:r>
            <w:r w:rsidRPr="00F01667">
              <w:rPr>
                <w:rFonts w:ascii="Arial" w:hAnsi="Arial" w:cs="Arial"/>
                <w:sz w:val="22"/>
                <w:szCs w:val="22"/>
              </w:rPr>
              <w:t xml:space="preserve"> in April 2015 to </w:t>
            </w:r>
            <w:r w:rsidRPr="00A74A74">
              <w:rPr>
                <w:rFonts w:ascii="Arial" w:hAnsi="Arial" w:cs="Arial"/>
                <w:bCs/>
                <w:sz w:val="22"/>
                <w:szCs w:val="22"/>
              </w:rPr>
              <w:t>96.5%</w:t>
            </w:r>
            <w:r w:rsidRPr="00F01667">
              <w:rPr>
                <w:rFonts w:ascii="Arial" w:hAnsi="Arial" w:cs="Arial"/>
                <w:sz w:val="22"/>
                <w:szCs w:val="22"/>
              </w:rPr>
              <w:t xml:space="preserve"> in December 2015, which constitutes an estimated </w:t>
            </w:r>
            <w:r w:rsidRPr="00F01667">
              <w:rPr>
                <w:rFonts w:ascii="Arial" w:hAnsi="Arial" w:cs="Arial"/>
                <w:b/>
                <w:bCs/>
                <w:sz w:val="22"/>
                <w:szCs w:val="22"/>
              </w:rPr>
              <w:t>85 000</w:t>
            </w:r>
            <w:r w:rsidRPr="00F01667">
              <w:rPr>
                <w:rFonts w:ascii="Arial" w:hAnsi="Arial" w:cs="Arial"/>
                <w:sz w:val="22"/>
                <w:szCs w:val="22"/>
              </w:rPr>
              <w:t xml:space="preserve"> households that have been served with water supply infrastructure during the first 3 quarters of 2015/16 financial year. </w:t>
            </w:r>
          </w:p>
          <w:p w:rsidR="008413CB" w:rsidRDefault="008413CB" w:rsidP="000B1CD6">
            <w:pPr>
              <w:spacing w:line="276" w:lineRule="auto"/>
              <w:rPr>
                <w:rFonts w:ascii="Arial" w:hAnsi="Arial" w:cs="Arial"/>
                <w:sz w:val="22"/>
                <w:szCs w:val="22"/>
              </w:rPr>
            </w:pPr>
          </w:p>
          <w:p w:rsidR="00F03864" w:rsidRPr="005F35C0" w:rsidRDefault="00442359" w:rsidP="000B1CD6">
            <w:pPr>
              <w:spacing w:line="276" w:lineRule="auto"/>
              <w:rPr>
                <w:rFonts w:ascii="Arial" w:hAnsi="Arial" w:cs="Arial"/>
                <w:sz w:val="22"/>
                <w:szCs w:val="22"/>
                <w:lang w:val="en-ZA"/>
              </w:rPr>
            </w:pPr>
            <w:r w:rsidRPr="00BE058B">
              <w:rPr>
                <w:rFonts w:ascii="Arial" w:hAnsi="Arial" w:cs="Arial"/>
                <w:sz w:val="22"/>
                <w:szCs w:val="22"/>
              </w:rPr>
              <w:t>66</w:t>
            </w:r>
            <w:r w:rsidR="008413CB" w:rsidRPr="00BE058B">
              <w:rPr>
                <w:rFonts w:ascii="Arial" w:hAnsi="Arial" w:cs="Arial"/>
                <w:sz w:val="22"/>
                <w:szCs w:val="22"/>
              </w:rPr>
              <w:t>%</w:t>
            </w:r>
            <w:r w:rsidR="008413CB" w:rsidRPr="005F35C0">
              <w:rPr>
                <w:rFonts w:ascii="Arial" w:hAnsi="Arial" w:cs="Arial"/>
                <w:sz w:val="22"/>
                <w:szCs w:val="22"/>
              </w:rPr>
              <w:t xml:space="preserve"> households have access to reliable services, i.e. access to water services without frequent and lengthy interruptions in supply.</w:t>
            </w:r>
          </w:p>
        </w:tc>
        <w:tc>
          <w:tcPr>
            <w:tcW w:w="465" w:type="pct"/>
            <w:tcBorders>
              <w:bottom w:val="single" w:sz="4" w:space="0" w:color="auto"/>
            </w:tcBorders>
            <w:shd w:val="clear" w:color="auto" w:fill="FFFF00"/>
          </w:tcPr>
          <w:p w:rsidR="00D12C62" w:rsidRPr="005F35C0" w:rsidRDefault="00D12C62" w:rsidP="00D12C62">
            <w:pPr>
              <w:spacing w:line="276" w:lineRule="auto"/>
              <w:jc w:val="both"/>
              <w:rPr>
                <w:rFonts w:ascii="Arial" w:hAnsi="Arial" w:cs="Arial"/>
                <w:sz w:val="22"/>
                <w:szCs w:val="22"/>
                <w:lang w:val="en-GB"/>
              </w:rPr>
            </w:pPr>
          </w:p>
        </w:tc>
      </w:tr>
      <w:tr w:rsidR="00D12C62" w:rsidRPr="005F35C0" w:rsidTr="000B1CD6">
        <w:trPr>
          <w:trHeight w:val="1621"/>
        </w:trPr>
        <w:tc>
          <w:tcPr>
            <w:tcW w:w="575" w:type="pct"/>
            <w:vMerge/>
            <w:shd w:val="clear" w:color="auto" w:fill="auto"/>
          </w:tcPr>
          <w:p w:rsidR="00D12C62" w:rsidRPr="005F35C0" w:rsidRDefault="00D12C62" w:rsidP="00D12C62">
            <w:pPr>
              <w:spacing w:line="276" w:lineRule="auto"/>
              <w:jc w:val="both"/>
              <w:rPr>
                <w:rFonts w:ascii="Arial" w:hAnsi="Arial" w:cs="Arial"/>
                <w:sz w:val="22"/>
                <w:szCs w:val="22"/>
                <w:lang w:val="en-GB"/>
              </w:rPr>
            </w:pPr>
          </w:p>
        </w:tc>
        <w:tc>
          <w:tcPr>
            <w:tcW w:w="782" w:type="pct"/>
            <w:shd w:val="clear" w:color="auto" w:fill="auto"/>
          </w:tcPr>
          <w:p w:rsidR="00D12C62" w:rsidRPr="005F35C0" w:rsidRDefault="00D12C62" w:rsidP="000B1CD6">
            <w:pPr>
              <w:spacing w:line="276" w:lineRule="auto"/>
              <w:rPr>
                <w:rFonts w:ascii="Arial" w:hAnsi="Arial" w:cs="Arial"/>
                <w:sz w:val="22"/>
                <w:szCs w:val="22"/>
                <w:lang w:val="en-GB"/>
              </w:rPr>
            </w:pPr>
            <w:r w:rsidRPr="005F35C0">
              <w:rPr>
                <w:rFonts w:ascii="Arial" w:hAnsi="Arial" w:cs="Arial"/>
                <w:sz w:val="22"/>
                <w:szCs w:val="22"/>
                <w:lang w:val="en-GB"/>
              </w:rPr>
              <w:t>Sanitation: 84%</w:t>
            </w:r>
          </w:p>
          <w:p w:rsidR="00D12C62" w:rsidRPr="005F35C0" w:rsidRDefault="00D12C62" w:rsidP="000B1CD6">
            <w:pPr>
              <w:spacing w:line="276" w:lineRule="auto"/>
              <w:rPr>
                <w:rFonts w:ascii="Arial" w:hAnsi="Arial" w:cs="Arial"/>
                <w:b/>
                <w:sz w:val="22"/>
                <w:szCs w:val="22"/>
                <w:lang w:val="en-GB"/>
              </w:rPr>
            </w:pPr>
            <w:r w:rsidRPr="005F35C0">
              <w:rPr>
                <w:rFonts w:ascii="Arial" w:hAnsi="Arial" w:cs="Arial"/>
                <w:b/>
                <w:sz w:val="22"/>
                <w:szCs w:val="22"/>
                <w:lang w:val="en-GB"/>
              </w:rPr>
              <w:t xml:space="preserve">New baseline proposed by Sanitation of 74% </w:t>
            </w:r>
          </w:p>
        </w:tc>
        <w:tc>
          <w:tcPr>
            <w:tcW w:w="831" w:type="pct"/>
            <w:shd w:val="clear" w:color="auto" w:fill="auto"/>
          </w:tcPr>
          <w:p w:rsidR="00D12C62" w:rsidRPr="005F35C0" w:rsidRDefault="00D12C62" w:rsidP="000B1CD6">
            <w:pPr>
              <w:spacing w:line="276" w:lineRule="auto"/>
              <w:rPr>
                <w:rFonts w:ascii="Arial" w:hAnsi="Arial" w:cs="Arial"/>
                <w:sz w:val="22"/>
                <w:szCs w:val="22"/>
                <w:lang w:val="en-GB"/>
              </w:rPr>
            </w:pPr>
            <w:r w:rsidRPr="005F35C0">
              <w:rPr>
                <w:rFonts w:ascii="Arial" w:hAnsi="Arial" w:cs="Arial"/>
                <w:sz w:val="22"/>
                <w:szCs w:val="22"/>
                <w:lang w:val="en-GB"/>
              </w:rPr>
              <w:t>90% by 2019</w:t>
            </w:r>
          </w:p>
        </w:tc>
        <w:tc>
          <w:tcPr>
            <w:tcW w:w="2347" w:type="pct"/>
          </w:tcPr>
          <w:p w:rsidR="00D12C62" w:rsidRPr="005F35C0" w:rsidRDefault="0063533D" w:rsidP="000B1CD6">
            <w:pPr>
              <w:spacing w:line="276" w:lineRule="auto"/>
              <w:rPr>
                <w:rFonts w:ascii="Arial" w:hAnsi="Arial" w:cs="Arial"/>
                <w:sz w:val="22"/>
                <w:szCs w:val="22"/>
                <w:lang w:val="en-ZA"/>
              </w:rPr>
            </w:pPr>
            <w:r w:rsidRPr="005F35C0">
              <w:rPr>
                <w:rFonts w:ascii="Arial" w:hAnsi="Arial" w:cs="Arial"/>
                <w:sz w:val="22"/>
                <w:szCs w:val="22"/>
              </w:rPr>
              <w:t>Sa</w:t>
            </w:r>
            <w:r w:rsidR="00B0596E" w:rsidRPr="005F35C0">
              <w:rPr>
                <w:rFonts w:ascii="Arial" w:hAnsi="Arial" w:cs="Arial"/>
                <w:sz w:val="22"/>
                <w:szCs w:val="22"/>
              </w:rPr>
              <w:t xml:space="preserve">nitation delivery through the Rural Household Infrastructure Grant and Municipal Infrastructure Grant was </w:t>
            </w:r>
            <w:r w:rsidR="00B0596E" w:rsidRPr="005F35C0">
              <w:rPr>
                <w:rFonts w:ascii="Arial" w:hAnsi="Arial" w:cs="Arial"/>
                <w:b/>
                <w:sz w:val="22"/>
                <w:szCs w:val="22"/>
              </w:rPr>
              <w:t>133 508</w:t>
            </w:r>
            <w:r w:rsidR="00B0596E" w:rsidRPr="005F35C0">
              <w:rPr>
                <w:rFonts w:ascii="Arial" w:hAnsi="Arial" w:cs="Arial"/>
                <w:sz w:val="22"/>
                <w:szCs w:val="22"/>
              </w:rPr>
              <w:t xml:space="preserve"> households served c</w:t>
            </w:r>
            <w:r w:rsidRPr="005F35C0">
              <w:rPr>
                <w:rFonts w:ascii="Arial" w:hAnsi="Arial" w:cs="Arial"/>
                <w:sz w:val="22"/>
                <w:szCs w:val="22"/>
              </w:rPr>
              <w:t>umulatively since April 2015</w:t>
            </w:r>
            <w:r w:rsidR="00B0596E" w:rsidRPr="005F35C0">
              <w:rPr>
                <w:rFonts w:ascii="Arial" w:hAnsi="Arial" w:cs="Arial"/>
                <w:sz w:val="22"/>
                <w:szCs w:val="22"/>
              </w:rPr>
              <w:t xml:space="preserve">. This translates to a 0, 7% annual increase. </w:t>
            </w:r>
          </w:p>
        </w:tc>
        <w:tc>
          <w:tcPr>
            <w:tcW w:w="465" w:type="pct"/>
            <w:shd w:val="clear" w:color="auto" w:fill="FF0000"/>
          </w:tcPr>
          <w:p w:rsidR="00D12C62" w:rsidRPr="005F35C0" w:rsidRDefault="00D12C62" w:rsidP="00D12C62">
            <w:pPr>
              <w:spacing w:line="276" w:lineRule="auto"/>
              <w:jc w:val="both"/>
              <w:rPr>
                <w:rFonts w:ascii="Arial" w:hAnsi="Arial" w:cs="Arial"/>
                <w:sz w:val="22"/>
                <w:szCs w:val="22"/>
                <w:lang w:val="en-GB"/>
              </w:rPr>
            </w:pPr>
          </w:p>
        </w:tc>
      </w:tr>
      <w:tr w:rsidR="00D12C62" w:rsidRPr="005F35C0" w:rsidTr="000B1CD6">
        <w:trPr>
          <w:trHeight w:val="537"/>
        </w:trPr>
        <w:tc>
          <w:tcPr>
            <w:tcW w:w="575" w:type="pct"/>
            <w:vMerge/>
            <w:shd w:val="clear" w:color="auto" w:fill="auto"/>
          </w:tcPr>
          <w:p w:rsidR="00D12C62" w:rsidRPr="005F35C0" w:rsidRDefault="00D12C62" w:rsidP="00D12C62">
            <w:pPr>
              <w:spacing w:line="276" w:lineRule="auto"/>
              <w:jc w:val="both"/>
              <w:rPr>
                <w:rFonts w:ascii="Arial" w:hAnsi="Arial" w:cs="Arial"/>
                <w:sz w:val="22"/>
                <w:szCs w:val="22"/>
                <w:lang w:val="en-GB"/>
              </w:rPr>
            </w:pPr>
          </w:p>
        </w:tc>
        <w:tc>
          <w:tcPr>
            <w:tcW w:w="782" w:type="pct"/>
            <w:shd w:val="clear" w:color="auto" w:fill="auto"/>
          </w:tcPr>
          <w:p w:rsidR="00D12C62" w:rsidRPr="005F35C0" w:rsidRDefault="00D12C62" w:rsidP="000B1CD6">
            <w:pPr>
              <w:spacing w:line="276" w:lineRule="auto"/>
              <w:rPr>
                <w:rFonts w:ascii="Arial" w:hAnsi="Arial" w:cs="Arial"/>
                <w:sz w:val="22"/>
                <w:szCs w:val="22"/>
                <w:lang w:val="en-GB"/>
              </w:rPr>
            </w:pPr>
            <w:r w:rsidRPr="005F35C0">
              <w:rPr>
                <w:rFonts w:ascii="Arial" w:hAnsi="Arial" w:cs="Arial"/>
                <w:sz w:val="22"/>
                <w:szCs w:val="22"/>
                <w:lang w:val="en-GB"/>
              </w:rPr>
              <w:t>HHs using bucket sanitation 88127 in formal areas</w:t>
            </w:r>
          </w:p>
          <w:p w:rsidR="00D12C62" w:rsidRPr="005F35C0" w:rsidRDefault="00D12C62" w:rsidP="000B1CD6">
            <w:pPr>
              <w:spacing w:line="276" w:lineRule="auto"/>
              <w:rPr>
                <w:rFonts w:ascii="Arial" w:hAnsi="Arial" w:cs="Arial"/>
                <w:sz w:val="22"/>
                <w:szCs w:val="22"/>
                <w:lang w:val="en-GB"/>
              </w:rPr>
            </w:pPr>
            <w:r w:rsidRPr="005F35C0">
              <w:rPr>
                <w:rFonts w:ascii="Arial" w:hAnsi="Arial" w:cs="Arial"/>
                <w:sz w:val="22"/>
                <w:szCs w:val="22"/>
                <w:lang w:val="en-GB"/>
              </w:rPr>
              <w:tab/>
            </w:r>
          </w:p>
        </w:tc>
        <w:tc>
          <w:tcPr>
            <w:tcW w:w="831" w:type="pct"/>
            <w:shd w:val="clear" w:color="auto" w:fill="auto"/>
          </w:tcPr>
          <w:p w:rsidR="00D12C62" w:rsidRPr="005F35C0" w:rsidRDefault="00D12C62" w:rsidP="000B1CD6">
            <w:pPr>
              <w:spacing w:line="276" w:lineRule="auto"/>
              <w:rPr>
                <w:rFonts w:ascii="Arial" w:hAnsi="Arial" w:cs="Arial"/>
                <w:sz w:val="22"/>
                <w:szCs w:val="22"/>
                <w:lang w:val="en-GB"/>
              </w:rPr>
            </w:pPr>
            <w:r w:rsidRPr="005F35C0">
              <w:rPr>
                <w:rFonts w:ascii="Arial" w:hAnsi="Arial" w:cs="Arial"/>
                <w:sz w:val="22"/>
                <w:szCs w:val="22"/>
                <w:lang w:val="en-GB"/>
              </w:rPr>
              <w:t xml:space="preserve">88127 buckets eradicated in formal areas by 2015. </w:t>
            </w:r>
          </w:p>
          <w:p w:rsidR="00D12C62" w:rsidRPr="005F35C0" w:rsidRDefault="00D12C62" w:rsidP="000B1CD6">
            <w:pPr>
              <w:spacing w:line="276" w:lineRule="auto"/>
              <w:rPr>
                <w:rFonts w:ascii="Arial" w:hAnsi="Arial" w:cs="Arial"/>
                <w:sz w:val="22"/>
                <w:szCs w:val="22"/>
                <w:lang w:val="en-GB"/>
              </w:rPr>
            </w:pPr>
            <w:r w:rsidRPr="005F35C0">
              <w:rPr>
                <w:rFonts w:ascii="Arial" w:hAnsi="Arial" w:cs="Arial"/>
                <w:sz w:val="22"/>
                <w:szCs w:val="22"/>
                <w:lang w:val="en-GB"/>
              </w:rPr>
              <w:t>32 500 buckets eradicated in formal settlements by March 2016</w:t>
            </w:r>
          </w:p>
        </w:tc>
        <w:tc>
          <w:tcPr>
            <w:tcW w:w="2347" w:type="pct"/>
          </w:tcPr>
          <w:p w:rsidR="00412F30" w:rsidRPr="005F35C0" w:rsidRDefault="003B24D5" w:rsidP="000B1CD6">
            <w:pPr>
              <w:spacing w:line="276" w:lineRule="auto"/>
              <w:rPr>
                <w:rFonts w:ascii="Arial" w:hAnsi="Arial" w:cs="Arial"/>
                <w:sz w:val="22"/>
                <w:szCs w:val="22"/>
                <w:lang w:val="en-ZA"/>
              </w:rPr>
            </w:pPr>
            <w:r w:rsidRPr="005F35C0">
              <w:rPr>
                <w:rFonts w:ascii="Arial" w:hAnsi="Arial" w:cs="Arial"/>
                <w:sz w:val="22"/>
                <w:szCs w:val="22"/>
              </w:rPr>
              <w:t xml:space="preserve">As at June 2015, bucket sanitation has been removed in </w:t>
            </w:r>
            <w:r w:rsidRPr="005F35C0">
              <w:rPr>
                <w:rFonts w:ascii="Arial" w:hAnsi="Arial" w:cs="Arial"/>
                <w:b/>
                <w:sz w:val="22"/>
                <w:szCs w:val="22"/>
              </w:rPr>
              <w:t>24 559</w:t>
            </w:r>
            <w:r w:rsidRPr="005F35C0">
              <w:rPr>
                <w:rFonts w:ascii="Arial" w:hAnsi="Arial" w:cs="Arial"/>
                <w:sz w:val="22"/>
                <w:szCs w:val="22"/>
              </w:rPr>
              <w:t xml:space="preserve"> households over the past year against the initial target of </w:t>
            </w:r>
            <w:r w:rsidRPr="005F35C0">
              <w:rPr>
                <w:rFonts w:ascii="Arial" w:hAnsi="Arial" w:cs="Arial"/>
                <w:b/>
                <w:sz w:val="22"/>
                <w:szCs w:val="22"/>
              </w:rPr>
              <w:t>88 000.</w:t>
            </w:r>
            <w:r w:rsidRPr="005F35C0">
              <w:rPr>
                <w:rFonts w:ascii="Arial" w:hAnsi="Arial" w:cs="Arial"/>
                <w:sz w:val="22"/>
                <w:szCs w:val="22"/>
              </w:rPr>
              <w:t xml:space="preserve"> </w:t>
            </w:r>
          </w:p>
          <w:p w:rsidR="00442359" w:rsidRPr="005F35C0" w:rsidRDefault="00442359" w:rsidP="000B1CD6">
            <w:pPr>
              <w:spacing w:line="276" w:lineRule="auto"/>
              <w:rPr>
                <w:rFonts w:ascii="Arial" w:hAnsi="Arial" w:cs="Arial"/>
                <w:sz w:val="22"/>
                <w:szCs w:val="22"/>
              </w:rPr>
            </w:pPr>
          </w:p>
          <w:p w:rsidR="00D12C62" w:rsidRPr="005F35C0" w:rsidRDefault="003B24D5" w:rsidP="000B1CD6">
            <w:pPr>
              <w:spacing w:line="276" w:lineRule="auto"/>
              <w:rPr>
                <w:rFonts w:ascii="Arial" w:hAnsi="Arial" w:cs="Arial"/>
                <w:sz w:val="22"/>
                <w:szCs w:val="22"/>
                <w:lang w:val="en-ZA"/>
              </w:rPr>
            </w:pPr>
            <w:r w:rsidRPr="005F35C0">
              <w:rPr>
                <w:rFonts w:ascii="Arial" w:hAnsi="Arial" w:cs="Arial"/>
                <w:sz w:val="22"/>
                <w:szCs w:val="22"/>
              </w:rPr>
              <w:t>The Department has planned to replace 32 500 buckets by the end March 2016</w:t>
            </w:r>
          </w:p>
        </w:tc>
        <w:tc>
          <w:tcPr>
            <w:tcW w:w="465" w:type="pct"/>
            <w:shd w:val="clear" w:color="auto" w:fill="FF0000"/>
          </w:tcPr>
          <w:p w:rsidR="00D12C62" w:rsidRPr="005F35C0" w:rsidRDefault="00D12C62" w:rsidP="00D12C62">
            <w:pPr>
              <w:spacing w:line="276" w:lineRule="auto"/>
              <w:jc w:val="both"/>
              <w:rPr>
                <w:rFonts w:ascii="Arial" w:hAnsi="Arial" w:cs="Arial"/>
                <w:sz w:val="22"/>
                <w:szCs w:val="22"/>
                <w:lang w:val="en-GB"/>
              </w:rPr>
            </w:pPr>
          </w:p>
        </w:tc>
      </w:tr>
    </w:tbl>
    <w:p w:rsidR="00D12C62" w:rsidRDefault="00D12C62"/>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270"/>
        <w:gridCol w:w="2409"/>
        <w:gridCol w:w="6804"/>
        <w:gridCol w:w="1345"/>
      </w:tblGrid>
      <w:tr w:rsidR="00D12C62" w:rsidRPr="005F35C0" w:rsidTr="00412F30">
        <w:trPr>
          <w:trHeight w:val="537"/>
        </w:trPr>
        <w:tc>
          <w:tcPr>
            <w:tcW w:w="575" w:type="pct"/>
            <w:shd w:val="clear" w:color="auto" w:fill="9CC2E5"/>
          </w:tcPr>
          <w:p w:rsidR="00D12C62" w:rsidRPr="005F35C0" w:rsidRDefault="00D12C62" w:rsidP="00D12C62">
            <w:pPr>
              <w:spacing w:line="276" w:lineRule="auto"/>
              <w:jc w:val="both"/>
              <w:rPr>
                <w:rFonts w:ascii="Arial" w:hAnsi="Arial" w:cs="Arial"/>
                <w:b/>
                <w:bCs/>
                <w:sz w:val="22"/>
                <w:szCs w:val="22"/>
                <w:lang w:val="en-GB"/>
              </w:rPr>
            </w:pPr>
            <w:r w:rsidRPr="005F35C0">
              <w:rPr>
                <w:rFonts w:ascii="Arial" w:hAnsi="Arial" w:cs="Arial"/>
                <w:b/>
                <w:bCs/>
                <w:sz w:val="22"/>
                <w:szCs w:val="22"/>
                <w:lang w:val="en-GB"/>
              </w:rPr>
              <w:lastRenderedPageBreak/>
              <w:t>Indicator</w:t>
            </w:r>
          </w:p>
        </w:tc>
        <w:tc>
          <w:tcPr>
            <w:tcW w:w="783" w:type="pct"/>
            <w:shd w:val="clear" w:color="auto" w:fill="9CC2E5"/>
          </w:tcPr>
          <w:p w:rsidR="00D12C62" w:rsidRPr="005F35C0" w:rsidRDefault="00D12C62" w:rsidP="00D12C62">
            <w:pPr>
              <w:spacing w:line="276" w:lineRule="auto"/>
              <w:jc w:val="both"/>
              <w:rPr>
                <w:rFonts w:ascii="Arial" w:hAnsi="Arial" w:cs="Arial"/>
                <w:b/>
                <w:bCs/>
                <w:sz w:val="22"/>
                <w:szCs w:val="22"/>
                <w:lang w:val="en-GB"/>
              </w:rPr>
            </w:pPr>
            <w:r w:rsidRPr="005F35C0">
              <w:rPr>
                <w:rFonts w:ascii="Arial" w:hAnsi="Arial" w:cs="Arial"/>
                <w:b/>
                <w:bCs/>
                <w:sz w:val="22"/>
                <w:szCs w:val="22"/>
                <w:lang w:val="en-GB"/>
              </w:rPr>
              <w:t>Baseline</w:t>
            </w:r>
          </w:p>
        </w:tc>
        <w:tc>
          <w:tcPr>
            <w:tcW w:w="831" w:type="pct"/>
            <w:shd w:val="clear" w:color="auto" w:fill="9CC2E5"/>
          </w:tcPr>
          <w:p w:rsidR="00D12C62" w:rsidRPr="005F35C0" w:rsidRDefault="00D12C62" w:rsidP="00D12C62">
            <w:pPr>
              <w:spacing w:line="276" w:lineRule="auto"/>
              <w:jc w:val="both"/>
              <w:rPr>
                <w:rFonts w:ascii="Arial" w:hAnsi="Arial" w:cs="Arial"/>
                <w:b/>
                <w:bCs/>
                <w:sz w:val="22"/>
                <w:szCs w:val="22"/>
                <w:lang w:val="en-GB"/>
              </w:rPr>
            </w:pPr>
            <w:r w:rsidRPr="005F35C0">
              <w:rPr>
                <w:rFonts w:ascii="Arial" w:hAnsi="Arial" w:cs="Arial"/>
                <w:b/>
                <w:bCs/>
                <w:sz w:val="22"/>
                <w:szCs w:val="22"/>
                <w:lang w:val="en-GB"/>
              </w:rPr>
              <w:t>Target</w:t>
            </w:r>
          </w:p>
        </w:tc>
        <w:tc>
          <w:tcPr>
            <w:tcW w:w="2347" w:type="pct"/>
            <w:shd w:val="clear" w:color="auto" w:fill="9CC2E5"/>
          </w:tcPr>
          <w:p w:rsidR="00D12C62" w:rsidRPr="005F35C0" w:rsidRDefault="0063533D" w:rsidP="00D12C62">
            <w:pPr>
              <w:spacing w:line="276" w:lineRule="auto"/>
              <w:jc w:val="both"/>
              <w:rPr>
                <w:rFonts w:ascii="Arial" w:hAnsi="Arial" w:cs="Arial"/>
                <w:b/>
                <w:bCs/>
                <w:sz w:val="22"/>
                <w:szCs w:val="22"/>
                <w:lang w:val="en-GB"/>
              </w:rPr>
            </w:pPr>
            <w:r w:rsidRPr="005F35C0">
              <w:rPr>
                <w:rFonts w:ascii="Arial" w:hAnsi="Arial" w:cs="Arial"/>
                <w:b/>
                <w:bCs/>
                <w:sz w:val="22"/>
                <w:szCs w:val="22"/>
                <w:lang w:val="en-GB"/>
              </w:rPr>
              <w:t>Progress</w:t>
            </w:r>
          </w:p>
        </w:tc>
        <w:tc>
          <w:tcPr>
            <w:tcW w:w="465" w:type="pct"/>
            <w:shd w:val="clear" w:color="auto" w:fill="9CC2E5"/>
          </w:tcPr>
          <w:p w:rsidR="00D12C62" w:rsidRPr="005F35C0" w:rsidRDefault="00D12C62" w:rsidP="00D12C62">
            <w:pPr>
              <w:spacing w:line="276" w:lineRule="auto"/>
              <w:jc w:val="both"/>
              <w:rPr>
                <w:rFonts w:ascii="Arial" w:hAnsi="Arial" w:cs="Arial"/>
                <w:b/>
                <w:bCs/>
                <w:sz w:val="22"/>
                <w:szCs w:val="22"/>
                <w:lang w:val="en-GB"/>
              </w:rPr>
            </w:pPr>
            <w:r w:rsidRPr="005F35C0">
              <w:rPr>
                <w:rFonts w:ascii="Arial" w:hAnsi="Arial" w:cs="Arial"/>
                <w:b/>
                <w:bCs/>
                <w:sz w:val="22"/>
                <w:szCs w:val="22"/>
                <w:lang w:val="en-GB"/>
              </w:rPr>
              <w:t>Progress rating</w:t>
            </w:r>
          </w:p>
        </w:tc>
      </w:tr>
      <w:tr w:rsidR="00D12C62" w:rsidRPr="005F35C0" w:rsidTr="00442359">
        <w:trPr>
          <w:trHeight w:val="537"/>
        </w:trPr>
        <w:tc>
          <w:tcPr>
            <w:tcW w:w="575" w:type="pct"/>
            <w:vMerge w:val="restart"/>
            <w:shd w:val="clear" w:color="auto" w:fill="auto"/>
          </w:tcPr>
          <w:p w:rsidR="00D12C62" w:rsidRPr="005F35C0" w:rsidRDefault="00D12C62" w:rsidP="00D12C62">
            <w:pPr>
              <w:spacing w:line="276" w:lineRule="auto"/>
              <w:jc w:val="both"/>
              <w:rPr>
                <w:rFonts w:ascii="Arial" w:hAnsi="Arial" w:cs="Arial"/>
                <w:sz w:val="22"/>
                <w:szCs w:val="22"/>
                <w:lang w:val="en-GB"/>
              </w:rPr>
            </w:pPr>
          </w:p>
        </w:tc>
        <w:tc>
          <w:tcPr>
            <w:tcW w:w="783" w:type="pct"/>
            <w:shd w:val="clear" w:color="auto" w:fill="auto"/>
          </w:tcPr>
          <w:p w:rsidR="00D12C62" w:rsidRPr="005F35C0" w:rsidRDefault="00D12C62" w:rsidP="000B1CD6">
            <w:pPr>
              <w:rPr>
                <w:rFonts w:ascii="Arial" w:hAnsi="Arial" w:cs="Arial"/>
                <w:sz w:val="22"/>
                <w:szCs w:val="22"/>
                <w:lang w:val="en-GB"/>
              </w:rPr>
            </w:pPr>
            <w:r w:rsidRPr="005F35C0">
              <w:rPr>
                <w:rFonts w:ascii="Arial" w:hAnsi="Arial" w:cs="Arial"/>
                <w:sz w:val="22"/>
                <w:szCs w:val="22"/>
                <w:lang w:val="en-GB"/>
              </w:rPr>
              <w:t>Electricity: 12,8 million hhs connected to grid</w:t>
            </w:r>
          </w:p>
        </w:tc>
        <w:tc>
          <w:tcPr>
            <w:tcW w:w="831" w:type="pct"/>
            <w:shd w:val="clear" w:color="auto" w:fill="auto"/>
          </w:tcPr>
          <w:p w:rsidR="00D12C62" w:rsidRPr="005F35C0" w:rsidRDefault="00D12C62" w:rsidP="000B1CD6">
            <w:pPr>
              <w:rPr>
                <w:rFonts w:ascii="Arial" w:hAnsi="Arial" w:cs="Arial"/>
                <w:sz w:val="22"/>
                <w:szCs w:val="22"/>
                <w:lang w:val="en-GB"/>
              </w:rPr>
            </w:pPr>
            <w:r w:rsidRPr="005F35C0">
              <w:rPr>
                <w:rFonts w:ascii="Arial" w:hAnsi="Arial" w:cs="Arial"/>
                <w:sz w:val="22"/>
                <w:szCs w:val="22"/>
                <w:lang w:val="en-GB"/>
              </w:rPr>
              <w:t>1.4 million additional HHs connected by 2019</w:t>
            </w:r>
          </w:p>
        </w:tc>
        <w:tc>
          <w:tcPr>
            <w:tcW w:w="2347" w:type="pct"/>
          </w:tcPr>
          <w:p w:rsidR="00D12C62" w:rsidRPr="005F35C0" w:rsidRDefault="00B0596E" w:rsidP="000B1CD6">
            <w:pPr>
              <w:spacing w:line="276" w:lineRule="auto"/>
              <w:rPr>
                <w:rFonts w:ascii="Arial" w:hAnsi="Arial" w:cs="Arial"/>
                <w:sz w:val="22"/>
                <w:szCs w:val="22"/>
                <w:lang w:val="en-GB"/>
              </w:rPr>
            </w:pPr>
            <w:r w:rsidRPr="005F35C0">
              <w:rPr>
                <w:rFonts w:ascii="Arial" w:hAnsi="Arial" w:cs="Arial"/>
                <w:sz w:val="22"/>
                <w:szCs w:val="22"/>
                <w:lang w:val="en-GB"/>
              </w:rPr>
              <w:t xml:space="preserve">Access to electricity (grid) increased from </w:t>
            </w:r>
            <w:r w:rsidRPr="005F35C0">
              <w:rPr>
                <w:rFonts w:ascii="Arial" w:hAnsi="Arial" w:cs="Arial"/>
                <w:b/>
                <w:sz w:val="22"/>
                <w:szCs w:val="22"/>
                <w:lang w:val="en-GB"/>
              </w:rPr>
              <w:t>88.13%</w:t>
            </w:r>
            <w:r w:rsidRPr="005F35C0">
              <w:rPr>
                <w:rFonts w:ascii="Arial" w:hAnsi="Arial" w:cs="Arial"/>
                <w:sz w:val="22"/>
                <w:szCs w:val="22"/>
                <w:lang w:val="en-GB"/>
              </w:rPr>
              <w:t xml:space="preserve"> in April 2014 to </w:t>
            </w:r>
            <w:r w:rsidRPr="005F35C0">
              <w:rPr>
                <w:rFonts w:ascii="Arial" w:hAnsi="Arial" w:cs="Arial"/>
                <w:b/>
                <w:sz w:val="22"/>
                <w:szCs w:val="22"/>
                <w:lang w:val="en-GB"/>
              </w:rPr>
              <w:t>88.23%</w:t>
            </w:r>
            <w:r w:rsidRPr="005F35C0">
              <w:rPr>
                <w:rFonts w:ascii="Arial" w:hAnsi="Arial" w:cs="Arial"/>
                <w:sz w:val="22"/>
                <w:szCs w:val="22"/>
                <w:lang w:val="en-GB"/>
              </w:rPr>
              <w:t xml:space="preserve"> in April 2015. This percentage increase constitutes </w:t>
            </w:r>
            <w:r w:rsidRPr="005F35C0">
              <w:rPr>
                <w:rFonts w:ascii="Arial" w:hAnsi="Arial" w:cs="Arial"/>
                <w:b/>
                <w:sz w:val="22"/>
                <w:szCs w:val="22"/>
                <w:lang w:val="en-GB"/>
              </w:rPr>
              <w:t>233 455</w:t>
            </w:r>
            <w:r w:rsidRPr="005F35C0">
              <w:rPr>
                <w:rFonts w:ascii="Arial" w:hAnsi="Arial" w:cs="Arial"/>
                <w:sz w:val="22"/>
                <w:szCs w:val="22"/>
                <w:lang w:val="en-GB"/>
              </w:rPr>
              <w:t xml:space="preserve"> households connected to grid from.</w:t>
            </w:r>
          </w:p>
        </w:tc>
        <w:tc>
          <w:tcPr>
            <w:tcW w:w="465" w:type="pct"/>
            <w:shd w:val="clear" w:color="auto" w:fill="FFFF00"/>
          </w:tcPr>
          <w:p w:rsidR="00D12C62" w:rsidRPr="005F35C0" w:rsidRDefault="00D12C62" w:rsidP="00D12C62">
            <w:pPr>
              <w:spacing w:line="276" w:lineRule="auto"/>
              <w:jc w:val="both"/>
              <w:rPr>
                <w:rFonts w:ascii="Arial" w:hAnsi="Arial" w:cs="Arial"/>
                <w:sz w:val="22"/>
                <w:szCs w:val="22"/>
                <w:lang w:val="en-GB"/>
              </w:rPr>
            </w:pPr>
          </w:p>
        </w:tc>
      </w:tr>
      <w:tr w:rsidR="00D12C62" w:rsidRPr="005F35C0" w:rsidTr="00442359">
        <w:trPr>
          <w:trHeight w:val="537"/>
        </w:trPr>
        <w:tc>
          <w:tcPr>
            <w:tcW w:w="575" w:type="pct"/>
            <w:vMerge/>
            <w:shd w:val="clear" w:color="auto" w:fill="auto"/>
          </w:tcPr>
          <w:p w:rsidR="00D12C62" w:rsidRPr="005F35C0" w:rsidRDefault="00D12C62" w:rsidP="00D12C62">
            <w:pPr>
              <w:spacing w:line="276" w:lineRule="auto"/>
              <w:jc w:val="both"/>
              <w:rPr>
                <w:rFonts w:ascii="Arial" w:hAnsi="Arial" w:cs="Arial"/>
                <w:sz w:val="22"/>
                <w:szCs w:val="22"/>
                <w:lang w:val="en-GB"/>
              </w:rPr>
            </w:pPr>
          </w:p>
        </w:tc>
        <w:tc>
          <w:tcPr>
            <w:tcW w:w="783" w:type="pct"/>
            <w:shd w:val="clear" w:color="auto" w:fill="auto"/>
          </w:tcPr>
          <w:p w:rsidR="00D12C62" w:rsidRPr="005F35C0" w:rsidRDefault="000B1CD6" w:rsidP="000B1CD6">
            <w:pPr>
              <w:rPr>
                <w:rFonts w:ascii="Arial" w:hAnsi="Arial" w:cs="Arial"/>
                <w:sz w:val="22"/>
                <w:szCs w:val="22"/>
                <w:lang w:val="en-GB"/>
              </w:rPr>
            </w:pPr>
            <w:r>
              <w:rPr>
                <w:rFonts w:ascii="Arial" w:hAnsi="Arial" w:cs="Arial"/>
                <w:sz w:val="22"/>
                <w:szCs w:val="22"/>
                <w:lang w:val="en-GB"/>
              </w:rPr>
              <w:t xml:space="preserve">Refuse: </w:t>
            </w:r>
            <w:r w:rsidR="00D12C62" w:rsidRPr="005F35C0">
              <w:rPr>
                <w:rFonts w:ascii="Arial" w:hAnsi="Arial" w:cs="Arial"/>
                <w:sz w:val="22"/>
                <w:szCs w:val="22"/>
                <w:lang w:val="en-GB"/>
              </w:rPr>
              <w:t>72%</w:t>
            </w:r>
            <w:r w:rsidR="00D12C62" w:rsidRPr="005F35C0">
              <w:rPr>
                <w:rFonts w:ascii="Arial" w:hAnsi="Arial" w:cs="Arial"/>
                <w:sz w:val="22"/>
                <w:szCs w:val="22"/>
                <w:lang w:val="en-GB"/>
              </w:rPr>
              <w:tab/>
            </w:r>
          </w:p>
        </w:tc>
        <w:tc>
          <w:tcPr>
            <w:tcW w:w="831" w:type="pct"/>
            <w:shd w:val="clear" w:color="auto" w:fill="auto"/>
          </w:tcPr>
          <w:p w:rsidR="00D12C62" w:rsidRPr="005F35C0" w:rsidRDefault="00D12C62" w:rsidP="000B1CD6">
            <w:pPr>
              <w:rPr>
                <w:rFonts w:ascii="Arial" w:hAnsi="Arial" w:cs="Arial"/>
                <w:sz w:val="22"/>
                <w:szCs w:val="22"/>
                <w:lang w:val="en-GB"/>
              </w:rPr>
            </w:pPr>
            <w:r w:rsidRPr="005F35C0">
              <w:rPr>
                <w:rFonts w:ascii="Arial" w:hAnsi="Arial" w:cs="Arial"/>
                <w:sz w:val="22"/>
                <w:szCs w:val="22"/>
                <w:lang w:val="en-GB"/>
              </w:rPr>
              <w:t>80% by 2019</w:t>
            </w:r>
          </w:p>
        </w:tc>
        <w:tc>
          <w:tcPr>
            <w:tcW w:w="2347" w:type="pct"/>
          </w:tcPr>
          <w:p w:rsidR="00442359" w:rsidRPr="005F35C0" w:rsidRDefault="008413CB" w:rsidP="000B1CD6">
            <w:pPr>
              <w:rPr>
                <w:rFonts w:ascii="Arial" w:hAnsi="Arial" w:cs="Arial"/>
                <w:sz w:val="22"/>
                <w:szCs w:val="22"/>
                <w:lang w:val="en-GB"/>
              </w:rPr>
            </w:pPr>
            <w:r w:rsidRPr="005F35C0">
              <w:rPr>
                <w:rFonts w:ascii="Arial" w:hAnsi="Arial" w:cs="Arial"/>
                <w:sz w:val="22"/>
                <w:szCs w:val="22"/>
                <w:lang w:val="en-GB"/>
              </w:rPr>
              <w:t xml:space="preserve">According to the General Household Survey results, access to refuse removal increased from </w:t>
            </w:r>
            <w:r w:rsidRPr="005F35C0">
              <w:rPr>
                <w:rFonts w:ascii="Arial" w:hAnsi="Arial" w:cs="Arial"/>
                <w:b/>
                <w:sz w:val="22"/>
                <w:szCs w:val="22"/>
                <w:lang w:val="en-GB"/>
              </w:rPr>
              <w:t>74.5%</w:t>
            </w:r>
            <w:r w:rsidRPr="005F35C0">
              <w:rPr>
                <w:rFonts w:ascii="Arial" w:hAnsi="Arial" w:cs="Arial"/>
                <w:sz w:val="22"/>
                <w:szCs w:val="22"/>
                <w:lang w:val="en-GB"/>
              </w:rPr>
              <w:t xml:space="preserve"> in July 2013 to </w:t>
            </w:r>
            <w:r w:rsidRPr="005F35C0">
              <w:rPr>
                <w:rFonts w:ascii="Arial" w:hAnsi="Arial" w:cs="Arial"/>
                <w:b/>
                <w:sz w:val="22"/>
                <w:szCs w:val="22"/>
                <w:lang w:val="en-GB"/>
              </w:rPr>
              <w:t>74.6%</w:t>
            </w:r>
            <w:r w:rsidRPr="005F35C0">
              <w:rPr>
                <w:rFonts w:ascii="Arial" w:hAnsi="Arial" w:cs="Arial"/>
                <w:sz w:val="22"/>
                <w:szCs w:val="22"/>
                <w:lang w:val="en-GB"/>
              </w:rPr>
              <w:t xml:space="preserve"> in July 2014. </w:t>
            </w:r>
          </w:p>
          <w:p w:rsidR="00442359" w:rsidRPr="005F35C0" w:rsidRDefault="00442359" w:rsidP="000B1CD6">
            <w:pPr>
              <w:rPr>
                <w:rFonts w:ascii="Arial" w:hAnsi="Arial" w:cs="Arial"/>
                <w:sz w:val="22"/>
                <w:szCs w:val="22"/>
                <w:lang w:val="en-GB"/>
              </w:rPr>
            </w:pPr>
          </w:p>
          <w:p w:rsidR="00BF000A" w:rsidRPr="005F35C0" w:rsidRDefault="00442359" w:rsidP="000B1CD6">
            <w:pPr>
              <w:rPr>
                <w:rFonts w:ascii="Arial" w:hAnsi="Arial" w:cs="Arial"/>
                <w:sz w:val="22"/>
                <w:szCs w:val="22"/>
                <w:lang w:val="en-GB"/>
              </w:rPr>
            </w:pPr>
            <w:r w:rsidRPr="005F35C0">
              <w:rPr>
                <w:rFonts w:ascii="Arial" w:hAnsi="Arial" w:cs="Arial"/>
                <w:sz w:val="22"/>
                <w:szCs w:val="22"/>
                <w:lang w:val="en-GB"/>
              </w:rPr>
              <w:t>The percentage increase constitute</w:t>
            </w:r>
            <w:r w:rsidR="008413CB" w:rsidRPr="005F35C0">
              <w:rPr>
                <w:rFonts w:ascii="Arial" w:hAnsi="Arial" w:cs="Arial"/>
                <w:sz w:val="22"/>
                <w:szCs w:val="22"/>
                <w:lang w:val="en-GB"/>
              </w:rPr>
              <w:t xml:space="preserve"> </w:t>
            </w:r>
            <w:r w:rsidR="008413CB" w:rsidRPr="005F35C0">
              <w:rPr>
                <w:rFonts w:ascii="Arial" w:hAnsi="Arial" w:cs="Arial"/>
                <w:b/>
                <w:sz w:val="22"/>
                <w:szCs w:val="22"/>
                <w:lang w:val="en-GB"/>
              </w:rPr>
              <w:t>162 046</w:t>
            </w:r>
            <w:r w:rsidR="008413CB" w:rsidRPr="005F35C0">
              <w:rPr>
                <w:rFonts w:ascii="Arial" w:hAnsi="Arial" w:cs="Arial"/>
                <w:sz w:val="22"/>
                <w:szCs w:val="22"/>
                <w:lang w:val="en-GB"/>
              </w:rPr>
              <w:t xml:space="preserve"> households </w:t>
            </w:r>
            <w:r w:rsidRPr="005F35C0">
              <w:rPr>
                <w:rFonts w:ascii="Arial" w:hAnsi="Arial" w:cs="Arial"/>
                <w:sz w:val="22"/>
                <w:szCs w:val="22"/>
                <w:lang w:val="en-GB"/>
              </w:rPr>
              <w:t>with access to</w:t>
            </w:r>
            <w:r w:rsidR="008413CB" w:rsidRPr="005F35C0">
              <w:rPr>
                <w:rFonts w:ascii="Arial" w:hAnsi="Arial" w:cs="Arial"/>
                <w:sz w:val="22"/>
                <w:szCs w:val="22"/>
                <w:lang w:val="en-GB"/>
              </w:rPr>
              <w:t xml:space="preserve"> waste collection services. The GHS is conducted annually and the results are release in July every year. The latest report will be released in July 2016.</w:t>
            </w:r>
          </w:p>
          <w:p w:rsidR="00D12C62" w:rsidRPr="005F35C0" w:rsidRDefault="00D12C62" w:rsidP="000B1CD6">
            <w:pPr>
              <w:rPr>
                <w:rFonts w:ascii="Arial" w:hAnsi="Arial" w:cs="Arial"/>
                <w:sz w:val="22"/>
                <w:szCs w:val="22"/>
              </w:rPr>
            </w:pPr>
          </w:p>
        </w:tc>
        <w:tc>
          <w:tcPr>
            <w:tcW w:w="465" w:type="pct"/>
            <w:shd w:val="clear" w:color="auto" w:fill="FFFF00"/>
          </w:tcPr>
          <w:p w:rsidR="00D12C62" w:rsidRPr="005F35C0" w:rsidRDefault="00D12C62" w:rsidP="00D12C62">
            <w:pPr>
              <w:spacing w:line="276" w:lineRule="auto"/>
              <w:jc w:val="both"/>
              <w:rPr>
                <w:rFonts w:ascii="Arial" w:hAnsi="Arial" w:cs="Arial"/>
                <w:sz w:val="22"/>
                <w:szCs w:val="22"/>
                <w:lang w:val="en-GB"/>
              </w:rPr>
            </w:pPr>
          </w:p>
        </w:tc>
      </w:tr>
      <w:tr w:rsidR="00D12C62" w:rsidRPr="005F35C0" w:rsidTr="00442359">
        <w:trPr>
          <w:trHeight w:val="537"/>
        </w:trPr>
        <w:tc>
          <w:tcPr>
            <w:tcW w:w="575" w:type="pct"/>
            <w:shd w:val="clear" w:color="auto" w:fill="auto"/>
          </w:tcPr>
          <w:p w:rsidR="00D12C62" w:rsidRPr="005F35C0" w:rsidRDefault="00D12C62" w:rsidP="000B1CD6">
            <w:pPr>
              <w:rPr>
                <w:rFonts w:ascii="Arial" w:hAnsi="Arial" w:cs="Arial"/>
                <w:sz w:val="22"/>
                <w:szCs w:val="22"/>
              </w:rPr>
            </w:pPr>
            <w:r w:rsidRPr="005F35C0">
              <w:rPr>
                <w:rFonts w:ascii="Arial" w:hAnsi="Arial" w:cs="Arial"/>
                <w:sz w:val="22"/>
                <w:szCs w:val="22"/>
              </w:rPr>
              <w:t>Public trust and confidence in local government</w:t>
            </w:r>
          </w:p>
        </w:tc>
        <w:tc>
          <w:tcPr>
            <w:tcW w:w="783" w:type="pct"/>
            <w:shd w:val="clear" w:color="auto" w:fill="auto"/>
          </w:tcPr>
          <w:p w:rsidR="00D12C62" w:rsidRPr="005F35C0" w:rsidRDefault="00D12C62" w:rsidP="000B1CD6">
            <w:pPr>
              <w:rPr>
                <w:rFonts w:ascii="Arial" w:hAnsi="Arial" w:cs="Arial"/>
                <w:sz w:val="22"/>
                <w:szCs w:val="22"/>
              </w:rPr>
            </w:pPr>
            <w:r w:rsidRPr="005F35C0">
              <w:rPr>
                <w:rFonts w:ascii="Arial" w:hAnsi="Arial" w:cs="Arial"/>
                <w:sz w:val="22"/>
                <w:szCs w:val="22"/>
              </w:rPr>
              <w:t>51% (Ipsos 2012)</w:t>
            </w:r>
            <w:r w:rsidRPr="005F35C0">
              <w:rPr>
                <w:rFonts w:ascii="Arial" w:hAnsi="Arial" w:cs="Arial"/>
                <w:sz w:val="22"/>
                <w:szCs w:val="22"/>
              </w:rPr>
              <w:tab/>
            </w:r>
          </w:p>
        </w:tc>
        <w:tc>
          <w:tcPr>
            <w:tcW w:w="831" w:type="pct"/>
            <w:shd w:val="clear" w:color="auto" w:fill="auto"/>
          </w:tcPr>
          <w:p w:rsidR="00D12C62" w:rsidRPr="005F35C0" w:rsidRDefault="00D12C62" w:rsidP="000B1CD6">
            <w:pPr>
              <w:rPr>
                <w:rFonts w:ascii="Arial" w:hAnsi="Arial" w:cs="Arial"/>
                <w:sz w:val="22"/>
                <w:szCs w:val="22"/>
              </w:rPr>
            </w:pPr>
            <w:r w:rsidRPr="005F35C0">
              <w:rPr>
                <w:rFonts w:ascii="Arial" w:hAnsi="Arial" w:cs="Arial"/>
                <w:sz w:val="22"/>
                <w:szCs w:val="22"/>
              </w:rPr>
              <w:t>65% by 2019</w:t>
            </w:r>
          </w:p>
        </w:tc>
        <w:tc>
          <w:tcPr>
            <w:tcW w:w="2347" w:type="pct"/>
          </w:tcPr>
          <w:p w:rsidR="00D12C62" w:rsidRPr="005F35C0" w:rsidRDefault="005F35C0" w:rsidP="000B1CD6">
            <w:pPr>
              <w:spacing w:line="276" w:lineRule="auto"/>
              <w:rPr>
                <w:rFonts w:ascii="Arial" w:hAnsi="Arial" w:cs="Arial"/>
                <w:sz w:val="22"/>
                <w:szCs w:val="22"/>
                <w:lang w:val="en-GB"/>
              </w:rPr>
            </w:pPr>
            <w:r>
              <w:rPr>
                <w:rFonts w:ascii="Arial" w:hAnsi="Arial" w:cs="Arial"/>
                <w:sz w:val="22"/>
                <w:szCs w:val="22"/>
                <w:lang w:val="en-GB"/>
              </w:rPr>
              <w:t xml:space="preserve">Decreased from 55% in November 2014 to </w:t>
            </w:r>
            <w:r w:rsidRPr="005F35C0">
              <w:rPr>
                <w:rFonts w:ascii="Arial" w:hAnsi="Arial" w:cs="Arial"/>
                <w:sz w:val="22"/>
                <w:szCs w:val="22"/>
                <w:lang w:val="en-GB"/>
              </w:rPr>
              <w:t>49%</w:t>
            </w:r>
            <w:r>
              <w:rPr>
                <w:rFonts w:ascii="Arial" w:hAnsi="Arial" w:cs="Arial"/>
                <w:sz w:val="22"/>
                <w:szCs w:val="22"/>
                <w:lang w:val="en-GB"/>
              </w:rPr>
              <w:t xml:space="preserve"> in November 2016. This is according to a sur</w:t>
            </w:r>
            <w:r w:rsidR="005A6C9E">
              <w:rPr>
                <w:rFonts w:ascii="Arial" w:hAnsi="Arial" w:cs="Arial"/>
                <w:sz w:val="22"/>
                <w:szCs w:val="22"/>
                <w:lang w:val="en-GB"/>
              </w:rPr>
              <w:t>vey conducted by Ipsos.</w:t>
            </w:r>
          </w:p>
        </w:tc>
        <w:tc>
          <w:tcPr>
            <w:tcW w:w="465" w:type="pct"/>
            <w:shd w:val="clear" w:color="auto" w:fill="FFFF00"/>
          </w:tcPr>
          <w:p w:rsidR="00D12C62" w:rsidRPr="005F35C0" w:rsidRDefault="00D12C62" w:rsidP="00D12C62">
            <w:pPr>
              <w:spacing w:line="276" w:lineRule="auto"/>
              <w:jc w:val="both"/>
              <w:rPr>
                <w:rFonts w:ascii="Arial" w:hAnsi="Arial" w:cs="Arial"/>
                <w:sz w:val="22"/>
                <w:szCs w:val="22"/>
                <w:lang w:val="en-GB"/>
              </w:rPr>
            </w:pPr>
          </w:p>
        </w:tc>
      </w:tr>
      <w:tr w:rsidR="00CB7C6F" w:rsidRPr="005F35C0" w:rsidTr="00442359">
        <w:trPr>
          <w:trHeight w:val="2117"/>
        </w:trPr>
        <w:tc>
          <w:tcPr>
            <w:tcW w:w="575" w:type="pct"/>
            <w:shd w:val="clear" w:color="auto" w:fill="auto"/>
          </w:tcPr>
          <w:p w:rsidR="00CB7C6F" w:rsidRPr="005F35C0" w:rsidRDefault="00CB7C6F" w:rsidP="000B1CD6">
            <w:pPr>
              <w:rPr>
                <w:rFonts w:ascii="Arial" w:hAnsi="Arial" w:cs="Arial"/>
                <w:sz w:val="22"/>
                <w:szCs w:val="22"/>
              </w:rPr>
            </w:pPr>
            <w:r w:rsidRPr="005F35C0">
              <w:rPr>
                <w:rFonts w:ascii="Arial" w:hAnsi="Arial" w:cs="Arial"/>
                <w:sz w:val="22"/>
                <w:szCs w:val="22"/>
              </w:rPr>
              <w:t>Number of municipalities that improve their audit outcomes</w:t>
            </w:r>
          </w:p>
          <w:p w:rsidR="00CB7C6F" w:rsidRPr="005F35C0" w:rsidRDefault="00CB7C6F" w:rsidP="000B1CD6">
            <w:pPr>
              <w:rPr>
                <w:rFonts w:ascii="Arial" w:hAnsi="Arial" w:cs="Arial"/>
                <w:sz w:val="22"/>
                <w:szCs w:val="22"/>
              </w:rPr>
            </w:pPr>
          </w:p>
        </w:tc>
        <w:tc>
          <w:tcPr>
            <w:tcW w:w="783" w:type="pct"/>
            <w:shd w:val="clear" w:color="auto" w:fill="auto"/>
          </w:tcPr>
          <w:p w:rsidR="00CB7C6F" w:rsidRPr="005F35C0" w:rsidRDefault="00CB7C6F" w:rsidP="000B1CD6">
            <w:pPr>
              <w:rPr>
                <w:rFonts w:ascii="Arial" w:hAnsi="Arial" w:cs="Arial"/>
                <w:sz w:val="22"/>
                <w:szCs w:val="22"/>
              </w:rPr>
            </w:pPr>
            <w:r w:rsidRPr="005F35C0">
              <w:rPr>
                <w:rFonts w:ascii="Arial" w:hAnsi="Arial" w:cs="Arial"/>
                <w:sz w:val="22"/>
                <w:szCs w:val="22"/>
              </w:rPr>
              <w:t>20% adverse and disclaimers</w:t>
            </w:r>
          </w:p>
          <w:p w:rsidR="00CB7C6F" w:rsidRPr="005F35C0" w:rsidRDefault="00CB7C6F" w:rsidP="000B1CD6">
            <w:pPr>
              <w:rPr>
                <w:rFonts w:ascii="Arial" w:hAnsi="Arial" w:cs="Arial"/>
                <w:sz w:val="22"/>
                <w:szCs w:val="22"/>
              </w:rPr>
            </w:pPr>
          </w:p>
          <w:p w:rsidR="00CB7C6F" w:rsidRPr="005F35C0" w:rsidRDefault="00CB7C6F" w:rsidP="000B1CD6">
            <w:pPr>
              <w:rPr>
                <w:rFonts w:ascii="Arial" w:hAnsi="Arial" w:cs="Arial"/>
                <w:sz w:val="22"/>
                <w:szCs w:val="22"/>
              </w:rPr>
            </w:pPr>
          </w:p>
          <w:p w:rsidR="00CB7C6F" w:rsidRPr="005F35C0" w:rsidRDefault="00CB7C6F" w:rsidP="000B1CD6">
            <w:pPr>
              <w:rPr>
                <w:rFonts w:ascii="Arial" w:hAnsi="Arial" w:cs="Arial"/>
                <w:sz w:val="22"/>
                <w:szCs w:val="22"/>
              </w:rPr>
            </w:pPr>
            <w:r w:rsidRPr="005F35C0">
              <w:rPr>
                <w:rFonts w:ascii="Arial" w:hAnsi="Arial" w:cs="Arial"/>
                <w:sz w:val="22"/>
                <w:szCs w:val="22"/>
              </w:rPr>
              <w:t>25% qualified audits</w:t>
            </w:r>
          </w:p>
          <w:p w:rsidR="00CB7C6F" w:rsidRPr="005F35C0" w:rsidRDefault="00CB7C6F" w:rsidP="000B1CD6">
            <w:pPr>
              <w:rPr>
                <w:rFonts w:ascii="Arial" w:hAnsi="Arial" w:cs="Arial"/>
                <w:sz w:val="22"/>
                <w:szCs w:val="22"/>
              </w:rPr>
            </w:pPr>
          </w:p>
          <w:p w:rsidR="00CB7C6F" w:rsidRPr="005F35C0" w:rsidRDefault="00CB7C6F" w:rsidP="000B1CD6">
            <w:pPr>
              <w:rPr>
                <w:rFonts w:ascii="Arial" w:hAnsi="Arial" w:cs="Arial"/>
                <w:sz w:val="22"/>
                <w:szCs w:val="22"/>
              </w:rPr>
            </w:pPr>
            <w:r w:rsidRPr="005F35C0">
              <w:rPr>
                <w:rFonts w:ascii="Arial" w:hAnsi="Arial" w:cs="Arial"/>
                <w:sz w:val="22"/>
                <w:szCs w:val="22"/>
              </w:rPr>
              <w:t>50% unqualified audits (2014)</w:t>
            </w:r>
          </w:p>
        </w:tc>
        <w:tc>
          <w:tcPr>
            <w:tcW w:w="831" w:type="pct"/>
            <w:shd w:val="clear" w:color="auto" w:fill="auto"/>
          </w:tcPr>
          <w:p w:rsidR="00CB7C6F" w:rsidRPr="005F35C0" w:rsidRDefault="00CB7C6F" w:rsidP="000B1CD6">
            <w:pPr>
              <w:rPr>
                <w:rFonts w:ascii="Arial" w:hAnsi="Arial" w:cs="Arial"/>
                <w:sz w:val="22"/>
                <w:szCs w:val="22"/>
              </w:rPr>
            </w:pPr>
            <w:r w:rsidRPr="005F35C0">
              <w:rPr>
                <w:rFonts w:ascii="Arial" w:hAnsi="Arial" w:cs="Arial"/>
                <w:sz w:val="22"/>
                <w:szCs w:val="22"/>
              </w:rPr>
              <w:t xml:space="preserve">Number of municipalities with disclaimers and adverse opinions </w:t>
            </w:r>
          </w:p>
          <w:p w:rsidR="00442359" w:rsidRPr="005F35C0" w:rsidRDefault="00442359" w:rsidP="000B1CD6">
            <w:pPr>
              <w:rPr>
                <w:rFonts w:ascii="Arial" w:hAnsi="Arial" w:cs="Arial"/>
                <w:sz w:val="22"/>
                <w:szCs w:val="22"/>
              </w:rPr>
            </w:pPr>
          </w:p>
          <w:p w:rsidR="00CB7C6F" w:rsidRPr="005F35C0" w:rsidRDefault="00CB7C6F" w:rsidP="000B1CD6">
            <w:pPr>
              <w:rPr>
                <w:rFonts w:ascii="Arial" w:hAnsi="Arial" w:cs="Arial"/>
                <w:sz w:val="22"/>
                <w:szCs w:val="22"/>
              </w:rPr>
            </w:pPr>
            <w:r w:rsidRPr="005F35C0">
              <w:rPr>
                <w:rFonts w:ascii="Arial" w:hAnsi="Arial" w:cs="Arial"/>
                <w:sz w:val="22"/>
                <w:szCs w:val="22"/>
              </w:rPr>
              <w:t>Maximum of 25% municipalities with Qualified audits</w:t>
            </w:r>
          </w:p>
          <w:p w:rsidR="00442359" w:rsidRPr="005F35C0" w:rsidRDefault="00442359" w:rsidP="000B1CD6">
            <w:pPr>
              <w:rPr>
                <w:rFonts w:ascii="Arial" w:hAnsi="Arial" w:cs="Arial"/>
                <w:sz w:val="22"/>
                <w:szCs w:val="22"/>
              </w:rPr>
            </w:pPr>
          </w:p>
          <w:p w:rsidR="00CB7C6F" w:rsidRPr="005F35C0" w:rsidRDefault="00CB7C6F" w:rsidP="000B1CD6">
            <w:pPr>
              <w:rPr>
                <w:rFonts w:ascii="Arial" w:hAnsi="Arial" w:cs="Arial"/>
                <w:sz w:val="22"/>
                <w:szCs w:val="22"/>
              </w:rPr>
            </w:pPr>
            <w:r w:rsidRPr="005F35C0">
              <w:rPr>
                <w:rFonts w:ascii="Arial" w:hAnsi="Arial" w:cs="Arial"/>
                <w:sz w:val="22"/>
                <w:szCs w:val="22"/>
              </w:rPr>
              <w:t>At least 75% of municipalities with unqualified audit opinions by 2019</w:t>
            </w:r>
          </w:p>
        </w:tc>
        <w:tc>
          <w:tcPr>
            <w:tcW w:w="2347" w:type="pct"/>
            <w:shd w:val="clear" w:color="auto" w:fill="auto"/>
          </w:tcPr>
          <w:p w:rsidR="005F35C0" w:rsidRPr="005F35C0" w:rsidRDefault="005F35C0" w:rsidP="000B1CD6">
            <w:pPr>
              <w:rPr>
                <w:rFonts w:ascii="Arial" w:hAnsi="Arial" w:cs="Arial"/>
                <w:sz w:val="22"/>
                <w:szCs w:val="22"/>
                <w:lang w:val="en-ZA"/>
              </w:rPr>
            </w:pPr>
            <w:r w:rsidRPr="005F35C0">
              <w:rPr>
                <w:rFonts w:ascii="Arial" w:hAnsi="Arial" w:cs="Arial"/>
                <w:sz w:val="22"/>
                <w:szCs w:val="22"/>
                <w:lang w:val="en-ZA"/>
              </w:rPr>
              <w:t xml:space="preserve">The audit outcomes for the MFMA 2013/14 Financial Year are as follows: </w:t>
            </w:r>
          </w:p>
          <w:p w:rsidR="005F35C0" w:rsidRPr="005F35C0" w:rsidRDefault="005F35C0" w:rsidP="000B1CD6">
            <w:pPr>
              <w:rPr>
                <w:rFonts w:ascii="Arial" w:hAnsi="Arial" w:cs="Arial"/>
                <w:sz w:val="22"/>
                <w:szCs w:val="22"/>
                <w:lang w:val="en-ZA"/>
              </w:rPr>
            </w:pPr>
          </w:p>
          <w:p w:rsidR="005F35C0" w:rsidRPr="005F35C0" w:rsidRDefault="005F35C0" w:rsidP="000B1CD6">
            <w:pPr>
              <w:rPr>
                <w:rFonts w:ascii="Arial" w:hAnsi="Arial" w:cs="Arial"/>
                <w:sz w:val="22"/>
                <w:szCs w:val="22"/>
                <w:lang w:val="en-ZA"/>
              </w:rPr>
            </w:pPr>
            <w:r w:rsidRPr="005F35C0">
              <w:rPr>
                <w:rFonts w:ascii="Arial" w:hAnsi="Arial" w:cs="Arial"/>
                <w:sz w:val="22"/>
                <w:szCs w:val="22"/>
                <w:lang w:val="en-ZA"/>
              </w:rPr>
              <w:t xml:space="preserve">17% of municipalities and entities had disclaimers and adverse, which is a reduction of 6% from 23%. </w:t>
            </w:r>
          </w:p>
          <w:p w:rsidR="005F35C0" w:rsidRPr="005F35C0" w:rsidRDefault="005F35C0" w:rsidP="000B1CD6">
            <w:pPr>
              <w:rPr>
                <w:rFonts w:ascii="Arial" w:hAnsi="Arial" w:cs="Arial"/>
                <w:sz w:val="22"/>
                <w:szCs w:val="22"/>
                <w:lang w:val="en-ZA"/>
              </w:rPr>
            </w:pPr>
          </w:p>
          <w:p w:rsidR="005F35C0" w:rsidRPr="005F35C0" w:rsidRDefault="005F35C0" w:rsidP="000B1CD6">
            <w:pPr>
              <w:rPr>
                <w:rFonts w:ascii="Arial" w:hAnsi="Arial" w:cs="Arial"/>
                <w:sz w:val="22"/>
                <w:szCs w:val="22"/>
                <w:lang w:val="en-ZA"/>
              </w:rPr>
            </w:pPr>
            <w:r w:rsidRPr="005F35C0">
              <w:rPr>
                <w:rFonts w:ascii="Arial" w:hAnsi="Arial" w:cs="Arial"/>
                <w:sz w:val="22"/>
                <w:szCs w:val="22"/>
                <w:lang w:val="en-ZA"/>
              </w:rPr>
              <w:t xml:space="preserve">22% of municipalities and entities had qualified opinions </w:t>
            </w:r>
          </w:p>
          <w:p w:rsidR="005F35C0" w:rsidRPr="005F35C0" w:rsidRDefault="005F35C0" w:rsidP="000B1CD6">
            <w:pPr>
              <w:rPr>
                <w:rFonts w:ascii="Arial" w:hAnsi="Arial" w:cs="Arial"/>
                <w:sz w:val="22"/>
                <w:szCs w:val="22"/>
                <w:lang w:val="en-ZA"/>
              </w:rPr>
            </w:pPr>
          </w:p>
          <w:p w:rsidR="00442359" w:rsidRPr="005F35C0" w:rsidRDefault="005F35C0" w:rsidP="000B1CD6">
            <w:pPr>
              <w:rPr>
                <w:rFonts w:ascii="Arial" w:hAnsi="Arial" w:cs="Arial"/>
                <w:sz w:val="22"/>
                <w:szCs w:val="22"/>
                <w:lang w:val="en-ZA"/>
              </w:rPr>
            </w:pPr>
            <w:r w:rsidRPr="005F35C0">
              <w:rPr>
                <w:rFonts w:ascii="Arial" w:hAnsi="Arial" w:cs="Arial"/>
                <w:sz w:val="22"/>
                <w:szCs w:val="22"/>
                <w:lang w:val="en-ZA"/>
              </w:rPr>
              <w:t xml:space="preserve">58% municipalities and entities had unqualified opinions. </w:t>
            </w:r>
            <w:r w:rsidR="006B6A45" w:rsidRPr="005F35C0">
              <w:rPr>
                <w:rFonts w:ascii="Arial" w:hAnsi="Arial" w:cs="Arial"/>
                <w:sz w:val="22"/>
                <w:szCs w:val="22"/>
                <w:lang w:val="en-ZA"/>
              </w:rPr>
              <w:t xml:space="preserve">As at </w:t>
            </w:r>
            <w:r w:rsidR="00442359" w:rsidRPr="005F35C0">
              <w:rPr>
                <w:rFonts w:ascii="Arial" w:hAnsi="Arial" w:cs="Arial"/>
                <w:sz w:val="22"/>
                <w:szCs w:val="22"/>
                <w:lang w:val="en-ZA"/>
              </w:rPr>
              <w:t>17% of municipalities and entities had disclaimers and adverse opinion</w:t>
            </w:r>
          </w:p>
          <w:p w:rsidR="00442359" w:rsidRPr="005F35C0" w:rsidRDefault="00442359" w:rsidP="000B1CD6">
            <w:pPr>
              <w:rPr>
                <w:rFonts w:ascii="Arial" w:hAnsi="Arial" w:cs="Arial"/>
                <w:sz w:val="22"/>
                <w:szCs w:val="22"/>
                <w:lang w:val="en-ZA"/>
              </w:rPr>
            </w:pPr>
          </w:p>
          <w:p w:rsidR="00CB7C6F" w:rsidRPr="005F35C0" w:rsidRDefault="00CB7C6F" w:rsidP="000B1CD6">
            <w:pPr>
              <w:rPr>
                <w:rFonts w:ascii="Arial" w:hAnsi="Arial" w:cs="Arial"/>
                <w:sz w:val="22"/>
                <w:szCs w:val="22"/>
              </w:rPr>
            </w:pPr>
            <w:r w:rsidRPr="005F35C0">
              <w:rPr>
                <w:rFonts w:ascii="Arial" w:hAnsi="Arial" w:cs="Arial"/>
                <w:sz w:val="22"/>
                <w:szCs w:val="22"/>
              </w:rPr>
              <w:t xml:space="preserve">The 2014/15 preliminary audit results </w:t>
            </w:r>
            <w:r w:rsidR="005F35C0" w:rsidRPr="005F35C0">
              <w:rPr>
                <w:rFonts w:ascii="Arial" w:hAnsi="Arial" w:cs="Arial"/>
                <w:sz w:val="22"/>
                <w:szCs w:val="22"/>
              </w:rPr>
              <w:t xml:space="preserve">for 2014/15 </w:t>
            </w:r>
            <w:r w:rsidRPr="005F35C0">
              <w:rPr>
                <w:rFonts w:ascii="Arial" w:hAnsi="Arial" w:cs="Arial"/>
                <w:sz w:val="22"/>
                <w:szCs w:val="22"/>
              </w:rPr>
              <w:t xml:space="preserve">were </w:t>
            </w:r>
            <w:r w:rsidR="005F35C0" w:rsidRPr="005F35C0">
              <w:rPr>
                <w:rFonts w:ascii="Arial" w:hAnsi="Arial" w:cs="Arial"/>
                <w:sz w:val="22"/>
                <w:szCs w:val="22"/>
              </w:rPr>
              <w:t>released by the A</w:t>
            </w:r>
            <w:r w:rsidRPr="005F35C0">
              <w:rPr>
                <w:rFonts w:ascii="Arial" w:hAnsi="Arial" w:cs="Arial"/>
                <w:sz w:val="22"/>
                <w:szCs w:val="22"/>
              </w:rPr>
              <w:t xml:space="preserve">uditor-General </w:t>
            </w:r>
            <w:r w:rsidR="00442359" w:rsidRPr="005F35C0">
              <w:rPr>
                <w:rFonts w:ascii="Arial" w:hAnsi="Arial" w:cs="Arial"/>
                <w:sz w:val="22"/>
                <w:szCs w:val="22"/>
              </w:rPr>
              <w:t>in</w:t>
            </w:r>
            <w:r w:rsidR="005F35C0" w:rsidRPr="005F35C0">
              <w:rPr>
                <w:rFonts w:ascii="Arial" w:hAnsi="Arial" w:cs="Arial"/>
                <w:sz w:val="22"/>
                <w:szCs w:val="22"/>
              </w:rPr>
              <w:t xml:space="preserve"> December 2015. The final consolidated report will be released in June 2016.</w:t>
            </w:r>
            <w:r w:rsidR="005F35C0" w:rsidRPr="007D190C">
              <w:rPr>
                <w:rFonts w:ascii="Calibri" w:eastAsia="Calibri" w:hAnsi="Calibri"/>
                <w:sz w:val="22"/>
                <w:szCs w:val="22"/>
                <w:lang w:val="en-GB"/>
              </w:rPr>
              <w:t xml:space="preserve"> </w:t>
            </w:r>
            <w:r w:rsidR="005F35C0" w:rsidRPr="005F35C0">
              <w:rPr>
                <w:rFonts w:ascii="Arial" w:hAnsi="Arial" w:cs="Arial"/>
                <w:sz w:val="22"/>
                <w:szCs w:val="22"/>
                <w:lang w:val="en-GB"/>
              </w:rPr>
              <w:t>The improvement in audit outcomes can only be measured after the release of the consolidated AG report.</w:t>
            </w:r>
          </w:p>
        </w:tc>
        <w:tc>
          <w:tcPr>
            <w:tcW w:w="465" w:type="pct"/>
            <w:shd w:val="clear" w:color="auto" w:fill="FFFF00"/>
          </w:tcPr>
          <w:p w:rsidR="00CB7C6F" w:rsidRPr="005F35C0" w:rsidRDefault="00CB7C6F" w:rsidP="00CB7C6F">
            <w:pPr>
              <w:spacing w:line="276" w:lineRule="auto"/>
              <w:jc w:val="both"/>
              <w:rPr>
                <w:rFonts w:ascii="Arial" w:hAnsi="Arial" w:cs="Arial"/>
                <w:sz w:val="22"/>
                <w:szCs w:val="22"/>
                <w:lang w:val="en-GB"/>
              </w:rPr>
            </w:pPr>
          </w:p>
        </w:tc>
      </w:tr>
      <w:tr w:rsidR="00CB7C6F" w:rsidRPr="005F35C0" w:rsidTr="00442359">
        <w:trPr>
          <w:trHeight w:val="537"/>
        </w:trPr>
        <w:tc>
          <w:tcPr>
            <w:tcW w:w="575" w:type="pct"/>
            <w:shd w:val="clear" w:color="auto" w:fill="auto"/>
          </w:tcPr>
          <w:p w:rsidR="00CB7C6F" w:rsidRPr="005F35C0" w:rsidRDefault="00CB7C6F" w:rsidP="000B1CD6">
            <w:pPr>
              <w:rPr>
                <w:rFonts w:ascii="Arial" w:hAnsi="Arial" w:cs="Arial"/>
                <w:sz w:val="22"/>
                <w:szCs w:val="22"/>
              </w:rPr>
            </w:pPr>
            <w:r w:rsidRPr="005F35C0">
              <w:rPr>
                <w:rFonts w:ascii="Arial" w:hAnsi="Arial" w:cs="Arial"/>
                <w:sz w:val="22"/>
                <w:szCs w:val="22"/>
              </w:rPr>
              <w:t>Number of participants reached</w:t>
            </w:r>
          </w:p>
        </w:tc>
        <w:tc>
          <w:tcPr>
            <w:tcW w:w="783" w:type="pct"/>
            <w:shd w:val="clear" w:color="auto" w:fill="auto"/>
          </w:tcPr>
          <w:p w:rsidR="00CB7C6F" w:rsidRPr="005F35C0" w:rsidRDefault="00CB7C6F" w:rsidP="000B1CD6">
            <w:pPr>
              <w:rPr>
                <w:rFonts w:ascii="Arial" w:hAnsi="Arial" w:cs="Arial"/>
                <w:sz w:val="22"/>
                <w:szCs w:val="22"/>
              </w:rPr>
            </w:pPr>
            <w:r w:rsidRPr="005F35C0">
              <w:rPr>
                <w:rFonts w:ascii="Arial" w:hAnsi="Arial" w:cs="Arial"/>
                <w:sz w:val="22"/>
                <w:szCs w:val="22"/>
              </w:rPr>
              <w:t>172 000 (actual participation rate end March 2014)</w:t>
            </w:r>
          </w:p>
        </w:tc>
        <w:tc>
          <w:tcPr>
            <w:tcW w:w="831" w:type="pct"/>
            <w:shd w:val="clear" w:color="auto" w:fill="auto"/>
          </w:tcPr>
          <w:p w:rsidR="00CB7C6F" w:rsidRPr="005F35C0" w:rsidRDefault="00CB7C6F" w:rsidP="000B1CD6">
            <w:pPr>
              <w:rPr>
                <w:rFonts w:ascii="Arial" w:hAnsi="Arial" w:cs="Arial"/>
                <w:sz w:val="22"/>
                <w:szCs w:val="22"/>
              </w:rPr>
            </w:pPr>
            <w:r w:rsidRPr="005F35C0">
              <w:rPr>
                <w:rFonts w:ascii="Arial" w:hAnsi="Arial" w:cs="Arial"/>
                <w:sz w:val="22"/>
                <w:szCs w:val="22"/>
              </w:rPr>
              <w:t>1 million participants by 2019</w:t>
            </w:r>
          </w:p>
        </w:tc>
        <w:tc>
          <w:tcPr>
            <w:tcW w:w="2347" w:type="pct"/>
            <w:shd w:val="clear" w:color="auto" w:fill="auto"/>
          </w:tcPr>
          <w:p w:rsidR="00CB7C6F" w:rsidRPr="005F35C0" w:rsidRDefault="00CB7C6F" w:rsidP="000B1CD6">
            <w:pPr>
              <w:rPr>
                <w:rFonts w:ascii="Arial" w:hAnsi="Arial" w:cs="Arial"/>
                <w:sz w:val="22"/>
                <w:szCs w:val="22"/>
              </w:rPr>
            </w:pPr>
            <w:r w:rsidRPr="005F35C0">
              <w:rPr>
                <w:rFonts w:ascii="Arial" w:hAnsi="Arial" w:cs="Arial"/>
                <w:sz w:val="22"/>
                <w:szCs w:val="22"/>
              </w:rPr>
              <w:t xml:space="preserve">The total </w:t>
            </w:r>
            <w:r w:rsidR="00442359" w:rsidRPr="005F35C0">
              <w:rPr>
                <w:rFonts w:ascii="Arial" w:hAnsi="Arial" w:cs="Arial"/>
                <w:sz w:val="22"/>
                <w:szCs w:val="22"/>
              </w:rPr>
              <w:t xml:space="preserve">CWP </w:t>
            </w:r>
            <w:r w:rsidRPr="005F35C0">
              <w:rPr>
                <w:rFonts w:ascii="Arial" w:hAnsi="Arial" w:cs="Arial"/>
                <w:sz w:val="22"/>
                <w:szCs w:val="22"/>
              </w:rPr>
              <w:t>participation rate as at end of December 2015 was 214 013 cumulatively</w:t>
            </w:r>
          </w:p>
        </w:tc>
        <w:tc>
          <w:tcPr>
            <w:tcW w:w="465" w:type="pct"/>
            <w:shd w:val="clear" w:color="auto" w:fill="FFFF00"/>
          </w:tcPr>
          <w:p w:rsidR="00CB7C6F" w:rsidRPr="005F35C0" w:rsidRDefault="00CB7C6F" w:rsidP="00CB7C6F">
            <w:pPr>
              <w:spacing w:line="276" w:lineRule="auto"/>
              <w:jc w:val="both"/>
              <w:rPr>
                <w:rFonts w:ascii="Arial" w:hAnsi="Arial" w:cs="Arial"/>
                <w:sz w:val="22"/>
                <w:szCs w:val="22"/>
                <w:lang w:val="en-GB"/>
              </w:rPr>
            </w:pPr>
          </w:p>
        </w:tc>
      </w:tr>
    </w:tbl>
    <w:p w:rsidR="00CB7C6F" w:rsidRDefault="00CB7C6F" w:rsidP="00BB7E69">
      <w:pPr>
        <w:spacing w:line="276" w:lineRule="auto"/>
        <w:jc w:val="both"/>
        <w:rPr>
          <w:rFonts w:ascii="Arial" w:hAnsi="Arial" w:cs="Arial"/>
          <w:lang w:val="en-GB"/>
        </w:rPr>
        <w:sectPr w:rsidR="00CB7C6F" w:rsidSect="00D12C62">
          <w:pgSz w:w="15840" w:h="12240" w:orient="landscape"/>
          <w:pgMar w:top="1440" w:right="851" w:bottom="902" w:left="709" w:header="709" w:footer="709" w:gutter="0"/>
          <w:cols w:space="708"/>
          <w:rtlGutter/>
          <w:docGrid w:linePitch="360"/>
        </w:sectPr>
      </w:pPr>
    </w:p>
    <w:p w:rsidR="006C79A9" w:rsidRDefault="006C79A9" w:rsidP="00BB7E69">
      <w:pPr>
        <w:spacing w:line="276" w:lineRule="auto"/>
        <w:jc w:val="both"/>
        <w:rPr>
          <w:rFonts w:ascii="Arial" w:hAnsi="Arial" w:cs="Arial"/>
          <w:lang w:val="en-GB"/>
        </w:rPr>
      </w:pPr>
    </w:p>
    <w:p w:rsidR="00D12C62" w:rsidRPr="00747B5E" w:rsidRDefault="00D74C42" w:rsidP="00D12C62">
      <w:pPr>
        <w:spacing w:line="276" w:lineRule="auto"/>
        <w:jc w:val="both"/>
        <w:rPr>
          <w:rFonts w:ascii="Arial" w:hAnsi="Arial" w:cs="Arial"/>
          <w:b/>
          <w:bCs/>
          <w:lang w:val="en-GB"/>
        </w:rPr>
      </w:pPr>
      <w:r w:rsidRPr="00747B5E">
        <w:rPr>
          <w:rFonts w:ascii="Arial" w:hAnsi="Arial" w:cs="Arial"/>
          <w:b/>
          <w:bCs/>
          <w:lang w:val="en-GB"/>
        </w:rPr>
        <w:t>(d) W</w:t>
      </w:r>
      <w:r w:rsidR="00D12C62" w:rsidRPr="00747B5E">
        <w:rPr>
          <w:rFonts w:ascii="Arial" w:hAnsi="Arial" w:cs="Arial"/>
          <w:b/>
          <w:bCs/>
          <w:lang w:val="en-GB"/>
        </w:rPr>
        <w:t xml:space="preserve">hat are the key obstacles to </w:t>
      </w:r>
      <w:r w:rsidR="003B44DA" w:rsidRPr="00747B5E">
        <w:rPr>
          <w:rFonts w:ascii="Arial" w:hAnsi="Arial" w:cs="Arial"/>
          <w:b/>
          <w:bCs/>
          <w:lang w:val="en-GB"/>
        </w:rPr>
        <w:t>implementation?</w:t>
      </w:r>
      <w:r w:rsidR="00D12C62" w:rsidRPr="00747B5E">
        <w:rPr>
          <w:rFonts w:ascii="Arial" w:hAnsi="Arial" w:cs="Arial"/>
          <w:b/>
          <w:bCs/>
          <w:lang w:val="en-GB"/>
        </w:rPr>
        <w:t xml:space="preserve"> </w:t>
      </w:r>
    </w:p>
    <w:p w:rsidR="00D12C62" w:rsidRPr="00D12C62" w:rsidRDefault="00D12C62" w:rsidP="00D12C62">
      <w:pPr>
        <w:spacing w:line="276" w:lineRule="auto"/>
        <w:jc w:val="both"/>
        <w:rPr>
          <w:rFonts w:ascii="Arial" w:hAnsi="Arial" w:cs="Arial"/>
          <w:bCs/>
          <w:lang w:val="en-GB"/>
        </w:rPr>
      </w:pPr>
    </w:p>
    <w:p w:rsidR="00412F30" w:rsidRPr="005945A4" w:rsidRDefault="00E40378" w:rsidP="005945A4">
      <w:pPr>
        <w:numPr>
          <w:ilvl w:val="0"/>
          <w:numId w:val="3"/>
        </w:numPr>
        <w:spacing w:line="276" w:lineRule="auto"/>
        <w:ind w:left="360"/>
        <w:jc w:val="both"/>
        <w:rPr>
          <w:rFonts w:ascii="Arial" w:hAnsi="Arial" w:cs="Arial"/>
          <w:bCs/>
        </w:rPr>
      </w:pPr>
      <w:r w:rsidRPr="00E40378">
        <w:rPr>
          <w:rFonts w:ascii="Arial" w:hAnsi="Arial" w:cs="Arial"/>
          <w:bCs/>
        </w:rPr>
        <w:t xml:space="preserve">The provision of reliable services remains a challenge across all services </w:t>
      </w:r>
      <w:r w:rsidRPr="00D74C42">
        <w:rPr>
          <w:rFonts w:ascii="Arial" w:hAnsi="Arial" w:cs="Arial"/>
          <w:bCs/>
        </w:rPr>
        <w:t xml:space="preserve">due to backlogs in </w:t>
      </w:r>
      <w:r w:rsidR="00747B5E">
        <w:rPr>
          <w:rFonts w:ascii="Arial" w:hAnsi="Arial" w:cs="Arial"/>
          <w:bCs/>
        </w:rPr>
        <w:t xml:space="preserve">infrastructure </w:t>
      </w:r>
      <w:r w:rsidRPr="00D74C42">
        <w:rPr>
          <w:rFonts w:ascii="Arial" w:hAnsi="Arial" w:cs="Arial"/>
          <w:bCs/>
        </w:rPr>
        <w:t>refurbishment and neglect of operation and maintenance and asset management.</w:t>
      </w:r>
      <w:r w:rsidRPr="00E40378">
        <w:rPr>
          <w:rFonts w:ascii="Arial" w:hAnsi="Arial" w:cs="Arial"/>
          <w:bCs/>
        </w:rPr>
        <w:t xml:space="preserve"> There are no proper investments for infrastructure maintenance, which results in service interruptions. </w:t>
      </w:r>
    </w:p>
    <w:p w:rsidR="00CB7C6F" w:rsidRPr="005945A4" w:rsidRDefault="00CB7C6F" w:rsidP="005945A4">
      <w:pPr>
        <w:spacing w:line="276" w:lineRule="auto"/>
        <w:ind w:left="360"/>
        <w:jc w:val="both"/>
        <w:rPr>
          <w:rFonts w:ascii="Arial" w:hAnsi="Arial" w:cs="Arial"/>
          <w:bCs/>
        </w:rPr>
      </w:pPr>
    </w:p>
    <w:p w:rsidR="00CB7C6F" w:rsidRPr="005945A4" w:rsidRDefault="00CB7C6F" w:rsidP="005945A4">
      <w:pPr>
        <w:numPr>
          <w:ilvl w:val="0"/>
          <w:numId w:val="3"/>
        </w:numPr>
        <w:spacing w:line="276" w:lineRule="auto"/>
        <w:ind w:left="360"/>
        <w:jc w:val="both"/>
        <w:rPr>
          <w:rFonts w:ascii="Arial" w:hAnsi="Arial" w:cs="Arial"/>
          <w:bCs/>
        </w:rPr>
      </w:pPr>
      <w:r w:rsidRPr="005945A4">
        <w:rPr>
          <w:rFonts w:ascii="Arial" w:hAnsi="Arial" w:cs="Arial"/>
          <w:bCs/>
        </w:rPr>
        <w:t>The challenge of connecting households in rural areas</w:t>
      </w:r>
      <w:r w:rsidR="00BE058B">
        <w:rPr>
          <w:rFonts w:ascii="Arial" w:hAnsi="Arial" w:cs="Arial"/>
          <w:bCs/>
        </w:rPr>
        <w:t>,</w:t>
      </w:r>
      <w:r w:rsidRPr="005945A4">
        <w:rPr>
          <w:rFonts w:ascii="Arial" w:hAnsi="Arial" w:cs="Arial"/>
          <w:bCs/>
        </w:rPr>
        <w:t xml:space="preserve"> to bulk electricity infrastructure remains an issue. Most of these connections are concentrated in remote areas far from the grid, which necessitates installation of additional bulk infrastructure to connect these households. Installation of new bulk infrastructure necessitates environmental impact assessments, acquiring servitudes and project design functions, which have long lead times, to complete leading to delays in reticulation.</w:t>
      </w:r>
    </w:p>
    <w:p w:rsidR="00D12C62" w:rsidRPr="00CB7C6F" w:rsidRDefault="00D12C62" w:rsidP="00CB7C6F">
      <w:pPr>
        <w:spacing w:line="276" w:lineRule="auto"/>
        <w:jc w:val="both"/>
        <w:rPr>
          <w:rFonts w:ascii="Arial" w:hAnsi="Arial" w:cs="Arial"/>
          <w:bCs/>
          <w:lang w:val="en-ZA"/>
        </w:rPr>
      </w:pPr>
      <w:r w:rsidRPr="00CB7C6F">
        <w:rPr>
          <w:rFonts w:ascii="Arial" w:hAnsi="Arial" w:cs="Arial"/>
          <w:bCs/>
          <w:lang w:val="en-GB"/>
        </w:rPr>
        <w:tab/>
      </w:r>
      <w:r w:rsidRPr="00CB7C6F">
        <w:rPr>
          <w:rFonts w:ascii="Arial" w:hAnsi="Arial" w:cs="Arial"/>
          <w:bCs/>
          <w:lang w:val="en-GB"/>
        </w:rPr>
        <w:tab/>
      </w:r>
      <w:r w:rsidRPr="00CB7C6F">
        <w:rPr>
          <w:rFonts w:ascii="Arial" w:hAnsi="Arial" w:cs="Arial"/>
          <w:bCs/>
          <w:lang w:val="en-GB"/>
        </w:rPr>
        <w:tab/>
      </w:r>
      <w:r w:rsidRPr="00CB7C6F">
        <w:rPr>
          <w:rFonts w:ascii="Arial" w:hAnsi="Arial" w:cs="Arial"/>
          <w:bCs/>
          <w:lang w:val="en-GB"/>
        </w:rPr>
        <w:tab/>
      </w:r>
    </w:p>
    <w:p w:rsidR="006C79A9" w:rsidRPr="00747B5E" w:rsidRDefault="00D12C62" w:rsidP="003B44DA">
      <w:pPr>
        <w:spacing w:line="276" w:lineRule="auto"/>
        <w:jc w:val="both"/>
        <w:rPr>
          <w:rFonts w:ascii="Arial" w:hAnsi="Arial" w:cs="Arial"/>
          <w:b/>
          <w:bCs/>
          <w:lang w:val="en-GB"/>
        </w:rPr>
      </w:pPr>
      <w:r w:rsidRPr="00D12C62">
        <w:rPr>
          <w:rFonts w:ascii="Arial" w:hAnsi="Arial" w:cs="Arial"/>
          <w:bCs/>
          <w:lang w:val="en-GB"/>
        </w:rPr>
        <w:t xml:space="preserve"> </w:t>
      </w:r>
      <w:r w:rsidR="00E40378" w:rsidRPr="00747B5E">
        <w:rPr>
          <w:rFonts w:ascii="Arial" w:hAnsi="Arial" w:cs="Arial"/>
          <w:b/>
          <w:bCs/>
          <w:lang w:val="en-GB"/>
        </w:rPr>
        <w:t>(e) What is the plan to address such obstacles?</w:t>
      </w:r>
      <w:r w:rsidR="00E40378" w:rsidRPr="00747B5E">
        <w:rPr>
          <w:rFonts w:ascii="Arial" w:hAnsi="Arial" w:cs="Arial"/>
          <w:b/>
          <w:bCs/>
          <w:lang w:val="en-GB"/>
        </w:rPr>
        <w:tab/>
      </w:r>
    </w:p>
    <w:p w:rsidR="006C79A9" w:rsidRDefault="006C79A9" w:rsidP="006C79A9">
      <w:pPr>
        <w:spacing w:line="276" w:lineRule="auto"/>
        <w:rPr>
          <w:rFonts w:ascii="Arial" w:hAnsi="Arial" w:cs="Arial"/>
          <w:bCs/>
          <w:lang w:val="en-GB"/>
        </w:rPr>
      </w:pPr>
    </w:p>
    <w:p w:rsidR="008A2D7D" w:rsidRPr="008A2D7D" w:rsidRDefault="008A2D7D" w:rsidP="00747B5E">
      <w:pPr>
        <w:numPr>
          <w:ilvl w:val="0"/>
          <w:numId w:val="3"/>
        </w:numPr>
        <w:spacing w:line="276" w:lineRule="auto"/>
        <w:ind w:left="360"/>
        <w:jc w:val="both"/>
        <w:rPr>
          <w:rFonts w:ascii="Arial" w:hAnsi="Arial" w:cs="Arial"/>
          <w:bCs/>
          <w:lang w:val="en-ZA"/>
        </w:rPr>
      </w:pPr>
      <w:r w:rsidRPr="008A2D7D">
        <w:rPr>
          <w:rFonts w:ascii="Arial" w:eastAsia="Batang" w:hAnsi="Arial" w:cs="Arial"/>
          <w:szCs w:val="20"/>
          <w:lang w:val="en-GB"/>
        </w:rPr>
        <w:t>Improving service delivery performance requires a programme management approach to proactively address the planning, coordination and institutional constraints experienced</w:t>
      </w:r>
      <w:r>
        <w:rPr>
          <w:rFonts w:ascii="Arial" w:eastAsia="Batang" w:hAnsi="Arial" w:cs="Arial"/>
          <w:szCs w:val="20"/>
          <w:lang w:val="en-GB"/>
        </w:rPr>
        <w:t xml:space="preserve"> in t</w:t>
      </w:r>
      <w:r w:rsidRPr="00CB7C6F">
        <w:rPr>
          <w:rFonts w:ascii="Arial" w:hAnsi="Arial" w:cs="Arial"/>
          <w:bCs/>
        </w:rPr>
        <w:t>he 27 priority districts.</w:t>
      </w:r>
      <w:r w:rsidRPr="008A2D7D">
        <w:rPr>
          <w:rFonts w:ascii="Arial" w:eastAsia="Batang" w:hAnsi="Arial" w:cs="Arial"/>
          <w:szCs w:val="20"/>
          <w:lang w:val="en-GB"/>
        </w:rPr>
        <w:t xml:space="preserve"> In this regard, a Service Delivery Business Strategy </w:t>
      </w:r>
      <w:r>
        <w:rPr>
          <w:rFonts w:ascii="Arial" w:eastAsia="Batang" w:hAnsi="Arial" w:cs="Arial"/>
          <w:szCs w:val="20"/>
          <w:lang w:val="en-GB"/>
        </w:rPr>
        <w:t xml:space="preserve">(Attached) </w:t>
      </w:r>
      <w:r w:rsidRPr="008A2D7D">
        <w:rPr>
          <w:rFonts w:ascii="Arial" w:eastAsia="Batang" w:hAnsi="Arial" w:cs="Arial"/>
          <w:szCs w:val="20"/>
          <w:lang w:val="en-GB"/>
        </w:rPr>
        <w:t>was developed and approved by Cabinet on 02 June 2015</w:t>
      </w:r>
      <w:r>
        <w:rPr>
          <w:rFonts w:ascii="Arial" w:eastAsia="Batang" w:hAnsi="Arial" w:cs="Arial"/>
          <w:szCs w:val="20"/>
          <w:lang w:val="en-GB"/>
        </w:rPr>
        <w:t xml:space="preserve"> which </w:t>
      </w:r>
      <w:r w:rsidRPr="008A2D7D">
        <w:rPr>
          <w:rFonts w:ascii="Arial" w:eastAsia="Batang" w:hAnsi="Arial" w:cs="Arial"/>
          <w:szCs w:val="20"/>
          <w:lang w:val="en-GB"/>
        </w:rPr>
        <w:t>entail</w:t>
      </w:r>
      <w:r>
        <w:rPr>
          <w:rFonts w:ascii="Arial" w:eastAsia="Batang" w:hAnsi="Arial" w:cs="Arial"/>
          <w:szCs w:val="20"/>
          <w:lang w:val="en-GB"/>
        </w:rPr>
        <w:t>ed</w:t>
      </w:r>
      <w:r w:rsidRPr="008A2D7D">
        <w:rPr>
          <w:rFonts w:ascii="Arial" w:eastAsia="Batang" w:hAnsi="Arial" w:cs="Arial"/>
          <w:szCs w:val="20"/>
          <w:lang w:val="en-GB"/>
        </w:rPr>
        <w:t xml:space="preserve"> the establishment of a Programme Management Office (PMO) which is </w:t>
      </w:r>
      <w:r>
        <w:rPr>
          <w:rFonts w:ascii="Arial" w:eastAsia="Batang" w:hAnsi="Arial" w:cs="Arial"/>
          <w:szCs w:val="20"/>
          <w:lang w:val="en-GB"/>
        </w:rPr>
        <w:t xml:space="preserve">currently </w:t>
      </w:r>
      <w:r w:rsidRPr="008A2D7D">
        <w:rPr>
          <w:rFonts w:ascii="Arial" w:eastAsia="Batang" w:hAnsi="Arial" w:cs="Arial"/>
          <w:szCs w:val="20"/>
          <w:lang w:val="en-GB"/>
        </w:rPr>
        <w:t>being coordinated by MISA and comprises key sector departments (DWS, DoT</w:t>
      </w:r>
      <w:r>
        <w:rPr>
          <w:rFonts w:ascii="Arial" w:eastAsia="Batang" w:hAnsi="Arial" w:cs="Arial"/>
          <w:szCs w:val="20"/>
          <w:lang w:val="en-GB"/>
        </w:rPr>
        <w:t xml:space="preserve">, DEA, DOE, NT, </w:t>
      </w:r>
      <w:r w:rsidRPr="00BF7E6B">
        <w:rPr>
          <w:rFonts w:ascii="Arial" w:eastAsia="Batang" w:hAnsi="Arial" w:cs="Arial"/>
          <w:b/>
          <w:szCs w:val="20"/>
          <w:lang w:val="en-GB"/>
        </w:rPr>
        <w:t>DCoG</w:t>
      </w:r>
      <w:r>
        <w:rPr>
          <w:rFonts w:ascii="Arial" w:eastAsia="Batang" w:hAnsi="Arial" w:cs="Arial"/>
          <w:szCs w:val="20"/>
          <w:lang w:val="en-GB"/>
        </w:rPr>
        <w:t xml:space="preserve">, &amp; DPME). </w:t>
      </w:r>
    </w:p>
    <w:p w:rsidR="008A2D7D" w:rsidRPr="008A2D7D" w:rsidRDefault="008A2D7D" w:rsidP="008A2D7D">
      <w:pPr>
        <w:spacing w:line="276" w:lineRule="auto"/>
        <w:ind w:left="360"/>
        <w:jc w:val="both"/>
        <w:rPr>
          <w:rFonts w:ascii="Arial" w:hAnsi="Arial" w:cs="Arial"/>
          <w:bCs/>
          <w:lang w:val="en-ZA"/>
        </w:rPr>
      </w:pPr>
    </w:p>
    <w:p w:rsidR="00CB7C6F" w:rsidRPr="00CB7C6F" w:rsidRDefault="00CB7C6F" w:rsidP="00747B5E">
      <w:pPr>
        <w:numPr>
          <w:ilvl w:val="0"/>
          <w:numId w:val="3"/>
        </w:numPr>
        <w:spacing w:line="276" w:lineRule="auto"/>
        <w:ind w:left="360"/>
        <w:jc w:val="both"/>
        <w:rPr>
          <w:rFonts w:ascii="Arial" w:hAnsi="Arial" w:cs="Arial"/>
          <w:bCs/>
          <w:lang w:val="en-ZA"/>
        </w:rPr>
      </w:pPr>
      <w:r>
        <w:rPr>
          <w:rFonts w:ascii="Arial" w:hAnsi="Arial" w:cs="Arial"/>
          <w:bCs/>
          <w:lang w:val="en-ZA"/>
        </w:rPr>
        <w:t>T</w:t>
      </w:r>
      <w:r w:rsidR="00206CFA">
        <w:rPr>
          <w:rFonts w:ascii="Arial" w:hAnsi="Arial" w:cs="Arial"/>
          <w:bCs/>
          <w:lang w:val="en-ZA"/>
        </w:rPr>
        <w:t>o date, the</w:t>
      </w:r>
      <w:r>
        <w:rPr>
          <w:rFonts w:ascii="Arial" w:hAnsi="Arial" w:cs="Arial"/>
          <w:bCs/>
          <w:lang w:val="en-ZA"/>
        </w:rPr>
        <w:t xml:space="preserve"> PMO </w:t>
      </w:r>
      <w:r w:rsidRPr="00CB7C6F">
        <w:rPr>
          <w:rFonts w:ascii="Arial" w:hAnsi="Arial" w:cs="Arial"/>
          <w:bCs/>
          <w:lang w:val="en-GB"/>
        </w:rPr>
        <w:t>has completed the diagnostic</w:t>
      </w:r>
      <w:r>
        <w:rPr>
          <w:rFonts w:ascii="Arial" w:hAnsi="Arial" w:cs="Arial"/>
          <w:bCs/>
          <w:lang w:val="en-GB"/>
        </w:rPr>
        <w:t xml:space="preserve"> assessment</w:t>
      </w:r>
      <w:r w:rsidR="00D5574A">
        <w:rPr>
          <w:rFonts w:ascii="Arial" w:hAnsi="Arial" w:cs="Arial"/>
          <w:bCs/>
          <w:lang w:val="en-GB"/>
        </w:rPr>
        <w:t xml:space="preserve">s </w:t>
      </w:r>
      <w:r w:rsidRPr="00CB7C6F">
        <w:rPr>
          <w:rFonts w:ascii="Arial" w:hAnsi="Arial" w:cs="Arial"/>
          <w:bCs/>
          <w:lang w:val="en-GB"/>
        </w:rPr>
        <w:t>at the</w:t>
      </w:r>
      <w:r w:rsidR="00D5574A">
        <w:rPr>
          <w:rFonts w:ascii="Arial" w:hAnsi="Arial" w:cs="Arial"/>
          <w:bCs/>
          <w:lang w:val="en-GB"/>
        </w:rPr>
        <w:t xml:space="preserve"> Amathole District to determine and </w:t>
      </w:r>
      <w:r w:rsidRPr="00CB7C6F">
        <w:rPr>
          <w:rFonts w:ascii="Arial" w:hAnsi="Arial" w:cs="Arial"/>
          <w:bCs/>
          <w:lang w:val="en-GB"/>
        </w:rPr>
        <w:t>confirm the status quo of the backlogs on access to reliable service</w:t>
      </w:r>
      <w:r>
        <w:rPr>
          <w:rFonts w:ascii="Arial" w:hAnsi="Arial" w:cs="Arial"/>
          <w:bCs/>
          <w:lang w:val="en-GB"/>
        </w:rPr>
        <w:t xml:space="preserve">s. </w:t>
      </w:r>
      <w:r w:rsidRPr="00CB7C6F">
        <w:rPr>
          <w:rFonts w:ascii="Arial" w:hAnsi="Arial" w:cs="Arial"/>
          <w:bCs/>
          <w:lang w:val="en-GB"/>
        </w:rPr>
        <w:t>Umzinyathi, Se</w:t>
      </w:r>
      <w:r>
        <w:rPr>
          <w:rFonts w:ascii="Arial" w:hAnsi="Arial" w:cs="Arial"/>
          <w:bCs/>
          <w:lang w:val="en-GB"/>
        </w:rPr>
        <w:t xml:space="preserve">khukhune and Bojanala Districts municipalities are currently being assessed.           </w:t>
      </w:r>
    </w:p>
    <w:p w:rsidR="00CB7C6F" w:rsidRPr="00CB7C6F" w:rsidRDefault="00CB7C6F" w:rsidP="00747B5E">
      <w:pPr>
        <w:spacing w:line="276" w:lineRule="auto"/>
        <w:ind w:left="360"/>
        <w:jc w:val="both"/>
        <w:rPr>
          <w:rFonts w:ascii="Arial" w:hAnsi="Arial" w:cs="Arial"/>
          <w:bCs/>
          <w:lang w:val="en-ZA"/>
        </w:rPr>
      </w:pPr>
      <w:r>
        <w:rPr>
          <w:rFonts w:ascii="Arial" w:hAnsi="Arial" w:cs="Arial"/>
          <w:bCs/>
          <w:lang w:val="en-GB"/>
        </w:rPr>
        <w:t xml:space="preserve">                        </w:t>
      </w:r>
    </w:p>
    <w:p w:rsidR="008A2D7D" w:rsidRDefault="00CB7C6F" w:rsidP="005945A4">
      <w:pPr>
        <w:numPr>
          <w:ilvl w:val="0"/>
          <w:numId w:val="3"/>
        </w:numPr>
        <w:spacing w:line="276" w:lineRule="auto"/>
        <w:ind w:left="360"/>
        <w:jc w:val="both"/>
        <w:rPr>
          <w:rFonts w:ascii="Arial" w:hAnsi="Arial" w:cs="Arial"/>
          <w:bCs/>
          <w:lang w:val="en-GB"/>
        </w:rPr>
      </w:pPr>
      <w:r w:rsidRPr="00CB7C6F">
        <w:rPr>
          <w:rFonts w:ascii="Arial" w:hAnsi="Arial" w:cs="Arial"/>
          <w:bCs/>
          <w:lang w:val="en-GB"/>
        </w:rPr>
        <w:t>The Department of Energy has recognized the need to enhance performance through project management of the electrification programme, to establish stakeholder forums aimed at managing expectations and to ensure alignment with planned electrification targets. Separate funding from Integrated National Electrification Programme (INEP) will be allocated to address bulk infrastructure requirements for targeted electricity connections specifically in deep rural areas.</w:t>
      </w:r>
    </w:p>
    <w:p w:rsidR="008A2D7D" w:rsidRDefault="008A2D7D" w:rsidP="008A2D7D">
      <w:pPr>
        <w:pStyle w:val="ListParagraph"/>
        <w:rPr>
          <w:rFonts w:ascii="Arial" w:hAnsi="Arial" w:cs="Arial"/>
          <w:bCs/>
          <w:lang w:val="en-GB"/>
        </w:rPr>
      </w:pPr>
    </w:p>
    <w:p w:rsidR="008A2D7D" w:rsidRDefault="008A2D7D" w:rsidP="008A2D7D">
      <w:pPr>
        <w:jc w:val="both"/>
        <w:rPr>
          <w:rFonts w:ascii="Arial" w:hAnsi="Arial" w:cs="Arial"/>
          <w:bCs/>
          <w:lang w:val="en-GB"/>
        </w:rPr>
      </w:pPr>
    </w:p>
    <w:p w:rsidR="008A2D7D" w:rsidRDefault="008A2D7D" w:rsidP="008A2D7D">
      <w:pPr>
        <w:jc w:val="both"/>
        <w:rPr>
          <w:rFonts w:ascii="Arial" w:hAnsi="Arial" w:cs="Arial"/>
          <w:bCs/>
          <w:lang w:val="en-GB"/>
        </w:rPr>
      </w:pPr>
    </w:p>
    <w:p w:rsidR="00CB7C6F" w:rsidRPr="00CB7C6F" w:rsidRDefault="00CB7C6F" w:rsidP="008A2D7D">
      <w:pPr>
        <w:jc w:val="both"/>
        <w:rPr>
          <w:rFonts w:ascii="Arial" w:hAnsi="Arial" w:cs="Arial"/>
          <w:bCs/>
          <w:lang w:val="en-GB"/>
        </w:rPr>
      </w:pPr>
      <w:r w:rsidRPr="00CB7C6F">
        <w:rPr>
          <w:rFonts w:ascii="Arial" w:hAnsi="Arial" w:cs="Arial"/>
          <w:bCs/>
          <w:lang w:val="en-GB"/>
        </w:rPr>
        <w:t xml:space="preserve"> </w:t>
      </w:r>
    </w:p>
    <w:p w:rsidR="00B73883" w:rsidRPr="00CB7C6F" w:rsidRDefault="00B73883" w:rsidP="00747B5E">
      <w:pPr>
        <w:numPr>
          <w:ilvl w:val="0"/>
          <w:numId w:val="3"/>
        </w:numPr>
        <w:spacing w:line="276" w:lineRule="auto"/>
        <w:ind w:left="360"/>
        <w:jc w:val="both"/>
        <w:rPr>
          <w:rFonts w:ascii="Arial" w:hAnsi="Arial" w:cs="Arial"/>
          <w:bCs/>
          <w:lang w:val="en-ZA"/>
        </w:rPr>
        <w:sectPr w:rsidR="00B73883" w:rsidRPr="00CB7C6F" w:rsidSect="00CB7C6F">
          <w:pgSz w:w="12240" w:h="15840"/>
          <w:pgMar w:top="851" w:right="902" w:bottom="709" w:left="1440" w:header="709" w:footer="709" w:gutter="0"/>
          <w:cols w:space="708"/>
          <w:rtlGutter/>
          <w:docGrid w:linePitch="360"/>
        </w:sectPr>
      </w:pPr>
    </w:p>
    <w:p w:rsidR="00322981" w:rsidRPr="00D803C9" w:rsidRDefault="00322981" w:rsidP="000A5830">
      <w:pPr>
        <w:tabs>
          <w:tab w:val="left" w:pos="4678"/>
        </w:tabs>
        <w:spacing w:line="360" w:lineRule="auto"/>
        <w:ind w:left="1440" w:firstLine="720"/>
        <w:rPr>
          <w:rFonts w:ascii="Arial" w:hAnsi="Arial" w:cs="Arial"/>
          <w:b/>
        </w:rPr>
      </w:pPr>
    </w:p>
    <w:sectPr w:rsidR="00322981" w:rsidRPr="00D803C9" w:rsidSect="00B73883">
      <w:pgSz w:w="12240" w:h="15840"/>
      <w:pgMar w:top="851" w:right="902" w:bottom="709" w:left="144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5B" w:rsidRDefault="0023075B">
      <w:r>
        <w:separator/>
      </w:r>
    </w:p>
  </w:endnote>
  <w:endnote w:type="continuationSeparator" w:id="0">
    <w:p w:rsidR="0023075B" w:rsidRDefault="00230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5B" w:rsidRDefault="0023075B">
      <w:r>
        <w:separator/>
      </w:r>
    </w:p>
  </w:footnote>
  <w:footnote w:type="continuationSeparator" w:id="0">
    <w:p w:rsidR="0023075B" w:rsidRDefault="00230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3D7"/>
    <w:multiLevelType w:val="multilevel"/>
    <w:tmpl w:val="424A7724"/>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48B30DB"/>
    <w:multiLevelType w:val="hybridMultilevel"/>
    <w:tmpl w:val="432AF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A084A60"/>
    <w:multiLevelType w:val="hybridMultilevel"/>
    <w:tmpl w:val="EC8446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170D"/>
    <w:rsid w:val="00025F1F"/>
    <w:rsid w:val="000266F7"/>
    <w:rsid w:val="0003084F"/>
    <w:rsid w:val="00030FF4"/>
    <w:rsid w:val="00044BF2"/>
    <w:rsid w:val="00053DD6"/>
    <w:rsid w:val="000540CE"/>
    <w:rsid w:val="00061A84"/>
    <w:rsid w:val="00064C1D"/>
    <w:rsid w:val="00067D7C"/>
    <w:rsid w:val="00071841"/>
    <w:rsid w:val="0008330F"/>
    <w:rsid w:val="00091BF4"/>
    <w:rsid w:val="00093C72"/>
    <w:rsid w:val="000954AC"/>
    <w:rsid w:val="00096090"/>
    <w:rsid w:val="000A0116"/>
    <w:rsid w:val="000A5830"/>
    <w:rsid w:val="000B14A9"/>
    <w:rsid w:val="000B1CD6"/>
    <w:rsid w:val="000C090D"/>
    <w:rsid w:val="000D2C53"/>
    <w:rsid w:val="000D4AA5"/>
    <w:rsid w:val="000E0D84"/>
    <w:rsid w:val="000E0E88"/>
    <w:rsid w:val="000E6E94"/>
    <w:rsid w:val="000F4DAD"/>
    <w:rsid w:val="001003CB"/>
    <w:rsid w:val="00116EDC"/>
    <w:rsid w:val="00122A39"/>
    <w:rsid w:val="00123DDB"/>
    <w:rsid w:val="001314FC"/>
    <w:rsid w:val="00147245"/>
    <w:rsid w:val="00156E9A"/>
    <w:rsid w:val="0015763D"/>
    <w:rsid w:val="001626A1"/>
    <w:rsid w:val="001628E8"/>
    <w:rsid w:val="00171B43"/>
    <w:rsid w:val="00173C60"/>
    <w:rsid w:val="00175807"/>
    <w:rsid w:val="00181508"/>
    <w:rsid w:val="001B0C9C"/>
    <w:rsid w:val="001D3A93"/>
    <w:rsid w:val="001D6ADE"/>
    <w:rsid w:val="001E69BF"/>
    <w:rsid w:val="001E719B"/>
    <w:rsid w:val="00206CFA"/>
    <w:rsid w:val="00207046"/>
    <w:rsid w:val="0021288B"/>
    <w:rsid w:val="0021527D"/>
    <w:rsid w:val="00215505"/>
    <w:rsid w:val="0023075B"/>
    <w:rsid w:val="00241D04"/>
    <w:rsid w:val="00245C48"/>
    <w:rsid w:val="00247292"/>
    <w:rsid w:val="002523AB"/>
    <w:rsid w:val="00255C4A"/>
    <w:rsid w:val="002576DD"/>
    <w:rsid w:val="00263516"/>
    <w:rsid w:val="002816D5"/>
    <w:rsid w:val="002867FD"/>
    <w:rsid w:val="002878E5"/>
    <w:rsid w:val="002949F2"/>
    <w:rsid w:val="002A0753"/>
    <w:rsid w:val="002A645A"/>
    <w:rsid w:val="002B2990"/>
    <w:rsid w:val="002C4244"/>
    <w:rsid w:val="002C4E54"/>
    <w:rsid w:val="002C5792"/>
    <w:rsid w:val="002C5E36"/>
    <w:rsid w:val="002D10B9"/>
    <w:rsid w:val="002D6EFA"/>
    <w:rsid w:val="002F42F4"/>
    <w:rsid w:val="002F748D"/>
    <w:rsid w:val="0031080D"/>
    <w:rsid w:val="00314E06"/>
    <w:rsid w:val="0031617F"/>
    <w:rsid w:val="00322981"/>
    <w:rsid w:val="00323310"/>
    <w:rsid w:val="00345C33"/>
    <w:rsid w:val="0035403A"/>
    <w:rsid w:val="00354457"/>
    <w:rsid w:val="00357A0E"/>
    <w:rsid w:val="00357BF2"/>
    <w:rsid w:val="0036207A"/>
    <w:rsid w:val="0037043B"/>
    <w:rsid w:val="00372A73"/>
    <w:rsid w:val="00382DA0"/>
    <w:rsid w:val="003907A9"/>
    <w:rsid w:val="00391353"/>
    <w:rsid w:val="003A0DE9"/>
    <w:rsid w:val="003A7E19"/>
    <w:rsid w:val="003B24D5"/>
    <w:rsid w:val="003B44DA"/>
    <w:rsid w:val="003D4190"/>
    <w:rsid w:val="003D4D79"/>
    <w:rsid w:val="003E4628"/>
    <w:rsid w:val="00412F30"/>
    <w:rsid w:val="004156A8"/>
    <w:rsid w:val="00426162"/>
    <w:rsid w:val="00430F1C"/>
    <w:rsid w:val="004325C6"/>
    <w:rsid w:val="00442359"/>
    <w:rsid w:val="0044433D"/>
    <w:rsid w:val="004657EE"/>
    <w:rsid w:val="00473FAA"/>
    <w:rsid w:val="004779EE"/>
    <w:rsid w:val="00487EBD"/>
    <w:rsid w:val="00495467"/>
    <w:rsid w:val="0049779D"/>
    <w:rsid w:val="004A3FAE"/>
    <w:rsid w:val="004A4C5A"/>
    <w:rsid w:val="004B2C14"/>
    <w:rsid w:val="004B4AB0"/>
    <w:rsid w:val="004B5A08"/>
    <w:rsid w:val="004B6A4B"/>
    <w:rsid w:val="004C109A"/>
    <w:rsid w:val="004D2ABF"/>
    <w:rsid w:val="004D3C18"/>
    <w:rsid w:val="0050428A"/>
    <w:rsid w:val="00507E23"/>
    <w:rsid w:val="00511169"/>
    <w:rsid w:val="005113F3"/>
    <w:rsid w:val="005226A9"/>
    <w:rsid w:val="00522713"/>
    <w:rsid w:val="005229E8"/>
    <w:rsid w:val="0053047F"/>
    <w:rsid w:val="00537AA9"/>
    <w:rsid w:val="00542AD1"/>
    <w:rsid w:val="0054419A"/>
    <w:rsid w:val="00560443"/>
    <w:rsid w:val="00575F77"/>
    <w:rsid w:val="00577354"/>
    <w:rsid w:val="005806D7"/>
    <w:rsid w:val="005945A4"/>
    <w:rsid w:val="005966DC"/>
    <w:rsid w:val="005A0136"/>
    <w:rsid w:val="005A1706"/>
    <w:rsid w:val="005A1D28"/>
    <w:rsid w:val="005A4FB7"/>
    <w:rsid w:val="005A6C9E"/>
    <w:rsid w:val="005C7B96"/>
    <w:rsid w:val="005D0762"/>
    <w:rsid w:val="005D0D35"/>
    <w:rsid w:val="005F0F0A"/>
    <w:rsid w:val="005F13AA"/>
    <w:rsid w:val="005F35C0"/>
    <w:rsid w:val="005F4B63"/>
    <w:rsid w:val="005F5968"/>
    <w:rsid w:val="005F5EB3"/>
    <w:rsid w:val="005F60DB"/>
    <w:rsid w:val="00607BFF"/>
    <w:rsid w:val="006120D4"/>
    <w:rsid w:val="0061676A"/>
    <w:rsid w:val="00624B05"/>
    <w:rsid w:val="0063533D"/>
    <w:rsid w:val="00642A44"/>
    <w:rsid w:val="00647ED0"/>
    <w:rsid w:val="0066291D"/>
    <w:rsid w:val="0067399D"/>
    <w:rsid w:val="0069192E"/>
    <w:rsid w:val="006B06EF"/>
    <w:rsid w:val="006B1985"/>
    <w:rsid w:val="006B6A45"/>
    <w:rsid w:val="006C79A9"/>
    <w:rsid w:val="006D3C21"/>
    <w:rsid w:val="006D5BC7"/>
    <w:rsid w:val="006E5E8D"/>
    <w:rsid w:val="006F509E"/>
    <w:rsid w:val="00714435"/>
    <w:rsid w:val="007156B2"/>
    <w:rsid w:val="00724A26"/>
    <w:rsid w:val="007261E1"/>
    <w:rsid w:val="0073193E"/>
    <w:rsid w:val="007460CE"/>
    <w:rsid w:val="0074780E"/>
    <w:rsid w:val="00747B5E"/>
    <w:rsid w:val="00753BCF"/>
    <w:rsid w:val="00765129"/>
    <w:rsid w:val="00765941"/>
    <w:rsid w:val="007670C4"/>
    <w:rsid w:val="00785B60"/>
    <w:rsid w:val="007A0923"/>
    <w:rsid w:val="007A4E8F"/>
    <w:rsid w:val="007B5563"/>
    <w:rsid w:val="007D190C"/>
    <w:rsid w:val="007D22C5"/>
    <w:rsid w:val="007D4F67"/>
    <w:rsid w:val="007D6AEE"/>
    <w:rsid w:val="007F55E8"/>
    <w:rsid w:val="007F78D1"/>
    <w:rsid w:val="00801607"/>
    <w:rsid w:val="00803A7E"/>
    <w:rsid w:val="0080490B"/>
    <w:rsid w:val="00816463"/>
    <w:rsid w:val="00824AAD"/>
    <w:rsid w:val="008275AD"/>
    <w:rsid w:val="008413CB"/>
    <w:rsid w:val="00843814"/>
    <w:rsid w:val="00847BE1"/>
    <w:rsid w:val="00854333"/>
    <w:rsid w:val="00865F14"/>
    <w:rsid w:val="008900A1"/>
    <w:rsid w:val="008A1477"/>
    <w:rsid w:val="008A2D7D"/>
    <w:rsid w:val="008A4FB5"/>
    <w:rsid w:val="008C3B42"/>
    <w:rsid w:val="008D003B"/>
    <w:rsid w:val="008D5EBF"/>
    <w:rsid w:val="008F6740"/>
    <w:rsid w:val="00904A52"/>
    <w:rsid w:val="00906EB4"/>
    <w:rsid w:val="00931C5A"/>
    <w:rsid w:val="00935A33"/>
    <w:rsid w:val="00954992"/>
    <w:rsid w:val="00955D50"/>
    <w:rsid w:val="00965EF5"/>
    <w:rsid w:val="00966064"/>
    <w:rsid w:val="009672BC"/>
    <w:rsid w:val="00974A24"/>
    <w:rsid w:val="00977C5F"/>
    <w:rsid w:val="00991283"/>
    <w:rsid w:val="009B3ADB"/>
    <w:rsid w:val="009C0227"/>
    <w:rsid w:val="009C2F40"/>
    <w:rsid w:val="009E7179"/>
    <w:rsid w:val="00A02D47"/>
    <w:rsid w:val="00A03A37"/>
    <w:rsid w:val="00A167C8"/>
    <w:rsid w:val="00A35576"/>
    <w:rsid w:val="00A47B22"/>
    <w:rsid w:val="00A71D7F"/>
    <w:rsid w:val="00A74A74"/>
    <w:rsid w:val="00A84ABD"/>
    <w:rsid w:val="00A90334"/>
    <w:rsid w:val="00A96E8D"/>
    <w:rsid w:val="00AA31A0"/>
    <w:rsid w:val="00AB4D30"/>
    <w:rsid w:val="00AC4D01"/>
    <w:rsid w:val="00AC4F4F"/>
    <w:rsid w:val="00AD2E06"/>
    <w:rsid w:val="00AD717A"/>
    <w:rsid w:val="00AE6741"/>
    <w:rsid w:val="00AF2F7D"/>
    <w:rsid w:val="00AF7E3F"/>
    <w:rsid w:val="00B046BF"/>
    <w:rsid w:val="00B0596E"/>
    <w:rsid w:val="00B05E06"/>
    <w:rsid w:val="00B10A28"/>
    <w:rsid w:val="00B125C0"/>
    <w:rsid w:val="00B246CC"/>
    <w:rsid w:val="00B549CD"/>
    <w:rsid w:val="00B6542A"/>
    <w:rsid w:val="00B73883"/>
    <w:rsid w:val="00B8671D"/>
    <w:rsid w:val="00BA1D0A"/>
    <w:rsid w:val="00BA393C"/>
    <w:rsid w:val="00BA7F86"/>
    <w:rsid w:val="00BB7E69"/>
    <w:rsid w:val="00BC70D5"/>
    <w:rsid w:val="00BC7A56"/>
    <w:rsid w:val="00BD055E"/>
    <w:rsid w:val="00BE058B"/>
    <w:rsid w:val="00BF000A"/>
    <w:rsid w:val="00BF7E6B"/>
    <w:rsid w:val="00C0105B"/>
    <w:rsid w:val="00C03EFA"/>
    <w:rsid w:val="00C0413A"/>
    <w:rsid w:val="00C11E38"/>
    <w:rsid w:val="00C171A4"/>
    <w:rsid w:val="00C33C12"/>
    <w:rsid w:val="00C4733C"/>
    <w:rsid w:val="00C47C7A"/>
    <w:rsid w:val="00C52CB3"/>
    <w:rsid w:val="00C563C3"/>
    <w:rsid w:val="00C56EA1"/>
    <w:rsid w:val="00C639DE"/>
    <w:rsid w:val="00C663A1"/>
    <w:rsid w:val="00C671A1"/>
    <w:rsid w:val="00C84FDA"/>
    <w:rsid w:val="00C94A34"/>
    <w:rsid w:val="00CB3451"/>
    <w:rsid w:val="00CB5D20"/>
    <w:rsid w:val="00CB7C6F"/>
    <w:rsid w:val="00CC685C"/>
    <w:rsid w:val="00CD652C"/>
    <w:rsid w:val="00CE1F98"/>
    <w:rsid w:val="00CE7213"/>
    <w:rsid w:val="00D06842"/>
    <w:rsid w:val="00D06D3F"/>
    <w:rsid w:val="00D12C62"/>
    <w:rsid w:val="00D2427D"/>
    <w:rsid w:val="00D319E8"/>
    <w:rsid w:val="00D339A2"/>
    <w:rsid w:val="00D342CF"/>
    <w:rsid w:val="00D4293B"/>
    <w:rsid w:val="00D43C90"/>
    <w:rsid w:val="00D46223"/>
    <w:rsid w:val="00D5130B"/>
    <w:rsid w:val="00D54C5D"/>
    <w:rsid w:val="00D5574A"/>
    <w:rsid w:val="00D748C7"/>
    <w:rsid w:val="00D74C42"/>
    <w:rsid w:val="00D803C9"/>
    <w:rsid w:val="00D80A85"/>
    <w:rsid w:val="00D9186C"/>
    <w:rsid w:val="00D92EAA"/>
    <w:rsid w:val="00DA17B5"/>
    <w:rsid w:val="00DA4A8C"/>
    <w:rsid w:val="00DA4B3B"/>
    <w:rsid w:val="00DB6375"/>
    <w:rsid w:val="00DC609A"/>
    <w:rsid w:val="00DD0EA8"/>
    <w:rsid w:val="00DD560B"/>
    <w:rsid w:val="00E01507"/>
    <w:rsid w:val="00E150E2"/>
    <w:rsid w:val="00E24A23"/>
    <w:rsid w:val="00E26F93"/>
    <w:rsid w:val="00E332D3"/>
    <w:rsid w:val="00E40378"/>
    <w:rsid w:val="00E55ABF"/>
    <w:rsid w:val="00E651B1"/>
    <w:rsid w:val="00E658C1"/>
    <w:rsid w:val="00E738DE"/>
    <w:rsid w:val="00E834AF"/>
    <w:rsid w:val="00E857BC"/>
    <w:rsid w:val="00E928F5"/>
    <w:rsid w:val="00EA5FF4"/>
    <w:rsid w:val="00EB0D8C"/>
    <w:rsid w:val="00EB507F"/>
    <w:rsid w:val="00EB5B47"/>
    <w:rsid w:val="00ED39AF"/>
    <w:rsid w:val="00ED3F3F"/>
    <w:rsid w:val="00ED4734"/>
    <w:rsid w:val="00EE4D6E"/>
    <w:rsid w:val="00EF16BA"/>
    <w:rsid w:val="00EF438B"/>
    <w:rsid w:val="00EF7791"/>
    <w:rsid w:val="00F01667"/>
    <w:rsid w:val="00F03864"/>
    <w:rsid w:val="00F058E6"/>
    <w:rsid w:val="00F1593F"/>
    <w:rsid w:val="00F250B3"/>
    <w:rsid w:val="00F3348F"/>
    <w:rsid w:val="00F47B2B"/>
    <w:rsid w:val="00F5318C"/>
    <w:rsid w:val="00F66977"/>
    <w:rsid w:val="00F73FFC"/>
    <w:rsid w:val="00F7571F"/>
    <w:rsid w:val="00F76DC6"/>
    <w:rsid w:val="00F7762F"/>
    <w:rsid w:val="00F8045C"/>
    <w:rsid w:val="00F84D21"/>
    <w:rsid w:val="00F9164A"/>
    <w:rsid w:val="00F916D5"/>
    <w:rsid w:val="00FB1551"/>
    <w:rsid w:val="00FB20FC"/>
    <w:rsid w:val="00FB5150"/>
    <w:rsid w:val="00FD0924"/>
    <w:rsid w:val="00FD6875"/>
    <w:rsid w:val="00FF5D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72"/>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NoSpacing">
    <w:name w:val="No Spacing"/>
    <w:basedOn w:val="Normal"/>
    <w:uiPriority w:val="1"/>
    <w:qFormat/>
    <w:rsid w:val="0044433D"/>
    <w:pPr>
      <w:spacing w:before="100" w:beforeAutospacing="1" w:after="100" w:afterAutospacing="1"/>
    </w:pPr>
    <w:rPr>
      <w:rFonts w:eastAsia="Calibri"/>
      <w:lang w:val="en-ZA" w:eastAsia="en-ZA"/>
    </w:rPr>
  </w:style>
  <w:style w:type="paragraph" w:styleId="ListParagraph">
    <w:name w:val="List Paragraph"/>
    <w:basedOn w:val="Normal"/>
    <w:uiPriority w:val="34"/>
    <w:qFormat/>
    <w:rsid w:val="00064C1D"/>
    <w:pPr>
      <w:ind w:left="720"/>
    </w:pPr>
  </w:style>
  <w:style w:type="table" w:styleId="TableGrid">
    <w:name w:val="Table Grid"/>
    <w:basedOn w:val="TableNormal"/>
    <w:uiPriority w:val="39"/>
    <w:locked/>
    <w:rsid w:val="00E658C1"/>
    <w:rPr>
      <w:rFonts w:ascii="Calibri" w:eastAsia="PMingLiU"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12741">
      <w:bodyDiv w:val="1"/>
      <w:marLeft w:val="0"/>
      <w:marRight w:val="0"/>
      <w:marTop w:val="0"/>
      <w:marBottom w:val="0"/>
      <w:divBdr>
        <w:top w:val="none" w:sz="0" w:space="0" w:color="auto"/>
        <w:left w:val="none" w:sz="0" w:space="0" w:color="auto"/>
        <w:bottom w:val="none" w:sz="0" w:space="0" w:color="auto"/>
        <w:right w:val="none" w:sz="0" w:space="0" w:color="auto"/>
      </w:divBdr>
    </w:div>
    <w:div w:id="291178196">
      <w:bodyDiv w:val="1"/>
      <w:marLeft w:val="0"/>
      <w:marRight w:val="0"/>
      <w:marTop w:val="0"/>
      <w:marBottom w:val="0"/>
      <w:divBdr>
        <w:top w:val="none" w:sz="0" w:space="0" w:color="auto"/>
        <w:left w:val="none" w:sz="0" w:space="0" w:color="auto"/>
        <w:bottom w:val="none" w:sz="0" w:space="0" w:color="auto"/>
        <w:right w:val="none" w:sz="0" w:space="0" w:color="auto"/>
      </w:divBdr>
      <w:divsChild>
        <w:div w:id="146215228">
          <w:marLeft w:val="907"/>
          <w:marRight w:val="0"/>
          <w:marTop w:val="0"/>
          <w:marBottom w:val="0"/>
          <w:divBdr>
            <w:top w:val="none" w:sz="0" w:space="0" w:color="auto"/>
            <w:left w:val="none" w:sz="0" w:space="0" w:color="auto"/>
            <w:bottom w:val="none" w:sz="0" w:space="0" w:color="auto"/>
            <w:right w:val="none" w:sz="0" w:space="0" w:color="auto"/>
          </w:divBdr>
        </w:div>
        <w:div w:id="148449842">
          <w:marLeft w:val="1440"/>
          <w:marRight w:val="0"/>
          <w:marTop w:val="0"/>
          <w:marBottom w:val="0"/>
          <w:divBdr>
            <w:top w:val="none" w:sz="0" w:space="0" w:color="auto"/>
            <w:left w:val="none" w:sz="0" w:space="0" w:color="auto"/>
            <w:bottom w:val="none" w:sz="0" w:space="0" w:color="auto"/>
            <w:right w:val="none" w:sz="0" w:space="0" w:color="auto"/>
          </w:divBdr>
        </w:div>
        <w:div w:id="189102809">
          <w:marLeft w:val="907"/>
          <w:marRight w:val="0"/>
          <w:marTop w:val="0"/>
          <w:marBottom w:val="0"/>
          <w:divBdr>
            <w:top w:val="none" w:sz="0" w:space="0" w:color="auto"/>
            <w:left w:val="none" w:sz="0" w:space="0" w:color="auto"/>
            <w:bottom w:val="none" w:sz="0" w:space="0" w:color="auto"/>
            <w:right w:val="none" w:sz="0" w:space="0" w:color="auto"/>
          </w:divBdr>
        </w:div>
        <w:div w:id="250354489">
          <w:marLeft w:val="907"/>
          <w:marRight w:val="0"/>
          <w:marTop w:val="0"/>
          <w:marBottom w:val="0"/>
          <w:divBdr>
            <w:top w:val="none" w:sz="0" w:space="0" w:color="auto"/>
            <w:left w:val="none" w:sz="0" w:space="0" w:color="auto"/>
            <w:bottom w:val="none" w:sz="0" w:space="0" w:color="auto"/>
            <w:right w:val="none" w:sz="0" w:space="0" w:color="auto"/>
          </w:divBdr>
        </w:div>
        <w:div w:id="1367944642">
          <w:marLeft w:val="1440"/>
          <w:marRight w:val="0"/>
          <w:marTop w:val="0"/>
          <w:marBottom w:val="0"/>
          <w:divBdr>
            <w:top w:val="none" w:sz="0" w:space="0" w:color="auto"/>
            <w:left w:val="none" w:sz="0" w:space="0" w:color="auto"/>
            <w:bottom w:val="none" w:sz="0" w:space="0" w:color="auto"/>
            <w:right w:val="none" w:sz="0" w:space="0" w:color="auto"/>
          </w:divBdr>
        </w:div>
        <w:div w:id="1633827385">
          <w:marLeft w:val="547"/>
          <w:marRight w:val="0"/>
          <w:marTop w:val="0"/>
          <w:marBottom w:val="0"/>
          <w:divBdr>
            <w:top w:val="none" w:sz="0" w:space="0" w:color="auto"/>
            <w:left w:val="none" w:sz="0" w:space="0" w:color="auto"/>
            <w:bottom w:val="none" w:sz="0" w:space="0" w:color="auto"/>
            <w:right w:val="none" w:sz="0" w:space="0" w:color="auto"/>
          </w:divBdr>
        </w:div>
        <w:div w:id="1776093899">
          <w:marLeft w:val="907"/>
          <w:marRight w:val="0"/>
          <w:marTop w:val="0"/>
          <w:marBottom w:val="0"/>
          <w:divBdr>
            <w:top w:val="none" w:sz="0" w:space="0" w:color="auto"/>
            <w:left w:val="none" w:sz="0" w:space="0" w:color="auto"/>
            <w:bottom w:val="none" w:sz="0" w:space="0" w:color="auto"/>
            <w:right w:val="none" w:sz="0" w:space="0" w:color="auto"/>
          </w:divBdr>
        </w:div>
      </w:divsChild>
    </w:div>
    <w:div w:id="541939605">
      <w:bodyDiv w:val="1"/>
      <w:marLeft w:val="0"/>
      <w:marRight w:val="0"/>
      <w:marTop w:val="0"/>
      <w:marBottom w:val="0"/>
      <w:divBdr>
        <w:top w:val="none" w:sz="0" w:space="0" w:color="auto"/>
        <w:left w:val="none" w:sz="0" w:space="0" w:color="auto"/>
        <w:bottom w:val="none" w:sz="0" w:space="0" w:color="auto"/>
        <w:right w:val="none" w:sz="0" w:space="0" w:color="auto"/>
      </w:divBdr>
      <w:divsChild>
        <w:div w:id="1254778494">
          <w:marLeft w:val="547"/>
          <w:marRight w:val="0"/>
          <w:marTop w:val="96"/>
          <w:marBottom w:val="0"/>
          <w:divBdr>
            <w:top w:val="none" w:sz="0" w:space="0" w:color="auto"/>
            <w:left w:val="none" w:sz="0" w:space="0" w:color="auto"/>
            <w:bottom w:val="none" w:sz="0" w:space="0" w:color="auto"/>
            <w:right w:val="none" w:sz="0" w:space="0" w:color="auto"/>
          </w:divBdr>
        </w:div>
      </w:divsChild>
    </w:div>
    <w:div w:id="586965299">
      <w:bodyDiv w:val="1"/>
      <w:marLeft w:val="0"/>
      <w:marRight w:val="0"/>
      <w:marTop w:val="0"/>
      <w:marBottom w:val="0"/>
      <w:divBdr>
        <w:top w:val="none" w:sz="0" w:space="0" w:color="auto"/>
        <w:left w:val="none" w:sz="0" w:space="0" w:color="auto"/>
        <w:bottom w:val="none" w:sz="0" w:space="0" w:color="auto"/>
        <w:right w:val="none" w:sz="0" w:space="0" w:color="auto"/>
      </w:divBdr>
      <w:divsChild>
        <w:div w:id="77337859">
          <w:marLeft w:val="547"/>
          <w:marRight w:val="0"/>
          <w:marTop w:val="96"/>
          <w:marBottom w:val="0"/>
          <w:divBdr>
            <w:top w:val="none" w:sz="0" w:space="0" w:color="auto"/>
            <w:left w:val="none" w:sz="0" w:space="0" w:color="auto"/>
            <w:bottom w:val="none" w:sz="0" w:space="0" w:color="auto"/>
            <w:right w:val="none" w:sz="0" w:space="0" w:color="auto"/>
          </w:divBdr>
        </w:div>
        <w:div w:id="758866009">
          <w:marLeft w:val="547"/>
          <w:marRight w:val="0"/>
          <w:marTop w:val="96"/>
          <w:marBottom w:val="0"/>
          <w:divBdr>
            <w:top w:val="none" w:sz="0" w:space="0" w:color="auto"/>
            <w:left w:val="none" w:sz="0" w:space="0" w:color="auto"/>
            <w:bottom w:val="none" w:sz="0" w:space="0" w:color="auto"/>
            <w:right w:val="none" w:sz="0" w:space="0" w:color="auto"/>
          </w:divBdr>
        </w:div>
      </w:divsChild>
    </w:div>
    <w:div w:id="704136674">
      <w:bodyDiv w:val="1"/>
      <w:marLeft w:val="0"/>
      <w:marRight w:val="0"/>
      <w:marTop w:val="0"/>
      <w:marBottom w:val="0"/>
      <w:divBdr>
        <w:top w:val="none" w:sz="0" w:space="0" w:color="auto"/>
        <w:left w:val="none" w:sz="0" w:space="0" w:color="auto"/>
        <w:bottom w:val="none" w:sz="0" w:space="0" w:color="auto"/>
        <w:right w:val="none" w:sz="0" w:space="0" w:color="auto"/>
      </w:divBdr>
    </w:div>
    <w:div w:id="1135686265">
      <w:bodyDiv w:val="1"/>
      <w:marLeft w:val="0"/>
      <w:marRight w:val="0"/>
      <w:marTop w:val="0"/>
      <w:marBottom w:val="0"/>
      <w:divBdr>
        <w:top w:val="none" w:sz="0" w:space="0" w:color="auto"/>
        <w:left w:val="none" w:sz="0" w:space="0" w:color="auto"/>
        <w:bottom w:val="none" w:sz="0" w:space="0" w:color="auto"/>
        <w:right w:val="none" w:sz="0" w:space="0" w:color="auto"/>
      </w:divBdr>
      <w:divsChild>
        <w:div w:id="1702591065">
          <w:marLeft w:val="547"/>
          <w:marRight w:val="0"/>
          <w:marTop w:val="96"/>
          <w:marBottom w:val="0"/>
          <w:divBdr>
            <w:top w:val="none" w:sz="0" w:space="0" w:color="auto"/>
            <w:left w:val="none" w:sz="0" w:space="0" w:color="auto"/>
            <w:bottom w:val="none" w:sz="0" w:space="0" w:color="auto"/>
            <w:right w:val="none" w:sz="0" w:space="0" w:color="auto"/>
          </w:divBdr>
        </w:div>
        <w:div w:id="1845050632">
          <w:marLeft w:val="547"/>
          <w:marRight w:val="0"/>
          <w:marTop w:val="96"/>
          <w:marBottom w:val="0"/>
          <w:divBdr>
            <w:top w:val="none" w:sz="0" w:space="0" w:color="auto"/>
            <w:left w:val="none" w:sz="0" w:space="0" w:color="auto"/>
            <w:bottom w:val="none" w:sz="0" w:space="0" w:color="auto"/>
            <w:right w:val="none" w:sz="0" w:space="0" w:color="auto"/>
          </w:divBdr>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45340516">
      <w:bodyDiv w:val="1"/>
      <w:marLeft w:val="0"/>
      <w:marRight w:val="0"/>
      <w:marTop w:val="0"/>
      <w:marBottom w:val="0"/>
      <w:divBdr>
        <w:top w:val="none" w:sz="0" w:space="0" w:color="auto"/>
        <w:left w:val="none" w:sz="0" w:space="0" w:color="auto"/>
        <w:bottom w:val="none" w:sz="0" w:space="0" w:color="auto"/>
        <w:right w:val="none" w:sz="0" w:space="0" w:color="auto"/>
      </w:divBdr>
      <w:divsChild>
        <w:div w:id="958955264">
          <w:marLeft w:val="547"/>
          <w:marRight w:val="0"/>
          <w:marTop w:val="96"/>
          <w:marBottom w:val="0"/>
          <w:divBdr>
            <w:top w:val="none" w:sz="0" w:space="0" w:color="auto"/>
            <w:left w:val="none" w:sz="0" w:space="0" w:color="auto"/>
            <w:bottom w:val="none" w:sz="0" w:space="0" w:color="auto"/>
            <w:right w:val="none" w:sz="0" w:space="0" w:color="auto"/>
          </w:divBdr>
        </w:div>
        <w:div w:id="1009023826">
          <w:marLeft w:val="547"/>
          <w:marRight w:val="0"/>
          <w:marTop w:val="96"/>
          <w:marBottom w:val="0"/>
          <w:divBdr>
            <w:top w:val="none" w:sz="0" w:space="0" w:color="auto"/>
            <w:left w:val="none" w:sz="0" w:space="0" w:color="auto"/>
            <w:bottom w:val="none" w:sz="0" w:space="0" w:color="auto"/>
            <w:right w:val="none" w:sz="0" w:space="0" w:color="auto"/>
          </w:divBdr>
        </w:div>
      </w:divsChild>
    </w:div>
    <w:div w:id="1530991634">
      <w:bodyDiv w:val="1"/>
      <w:marLeft w:val="0"/>
      <w:marRight w:val="0"/>
      <w:marTop w:val="0"/>
      <w:marBottom w:val="0"/>
      <w:divBdr>
        <w:top w:val="none" w:sz="0" w:space="0" w:color="auto"/>
        <w:left w:val="none" w:sz="0" w:space="0" w:color="auto"/>
        <w:bottom w:val="none" w:sz="0" w:space="0" w:color="auto"/>
        <w:right w:val="none" w:sz="0" w:space="0" w:color="auto"/>
      </w:divBdr>
      <w:divsChild>
        <w:div w:id="1510100524">
          <w:marLeft w:val="555"/>
          <w:marRight w:val="0"/>
          <w:marTop w:val="0"/>
          <w:marBottom w:val="0"/>
          <w:divBdr>
            <w:top w:val="none" w:sz="0" w:space="0" w:color="auto"/>
            <w:left w:val="none" w:sz="0" w:space="0" w:color="auto"/>
            <w:bottom w:val="none" w:sz="0" w:space="0" w:color="auto"/>
            <w:right w:val="none" w:sz="0" w:space="0" w:color="auto"/>
          </w:divBdr>
        </w:div>
        <w:div w:id="1911962416">
          <w:marLeft w:val="555"/>
          <w:marRight w:val="0"/>
          <w:marTop w:val="0"/>
          <w:marBottom w:val="0"/>
          <w:divBdr>
            <w:top w:val="none" w:sz="0" w:space="0" w:color="auto"/>
            <w:left w:val="none" w:sz="0" w:space="0" w:color="auto"/>
            <w:bottom w:val="none" w:sz="0" w:space="0" w:color="auto"/>
            <w:right w:val="none" w:sz="0" w:space="0" w:color="auto"/>
          </w:divBdr>
        </w:div>
      </w:divsChild>
    </w:div>
    <w:div w:id="1788963813">
      <w:bodyDiv w:val="1"/>
      <w:marLeft w:val="0"/>
      <w:marRight w:val="0"/>
      <w:marTop w:val="0"/>
      <w:marBottom w:val="0"/>
      <w:divBdr>
        <w:top w:val="none" w:sz="0" w:space="0" w:color="auto"/>
        <w:left w:val="none" w:sz="0" w:space="0" w:color="auto"/>
        <w:bottom w:val="none" w:sz="0" w:space="0" w:color="auto"/>
        <w:right w:val="none" w:sz="0" w:space="0" w:color="auto"/>
      </w:divBdr>
      <w:divsChild>
        <w:div w:id="1636444617">
          <w:marLeft w:val="555"/>
          <w:marRight w:val="0"/>
          <w:marTop w:val="0"/>
          <w:marBottom w:val="0"/>
          <w:divBdr>
            <w:top w:val="none" w:sz="0" w:space="0" w:color="auto"/>
            <w:left w:val="none" w:sz="0" w:space="0" w:color="auto"/>
            <w:bottom w:val="none" w:sz="0" w:space="0" w:color="auto"/>
            <w:right w:val="none" w:sz="0" w:space="0" w:color="auto"/>
          </w:divBdr>
        </w:div>
        <w:div w:id="1725911284">
          <w:marLeft w:val="555"/>
          <w:marRight w:val="0"/>
          <w:marTop w:val="0"/>
          <w:marBottom w:val="0"/>
          <w:divBdr>
            <w:top w:val="none" w:sz="0" w:space="0" w:color="auto"/>
            <w:left w:val="none" w:sz="0" w:space="0" w:color="auto"/>
            <w:bottom w:val="none" w:sz="0" w:space="0" w:color="auto"/>
            <w:right w:val="none" w:sz="0" w:space="0" w:color="auto"/>
          </w:divBdr>
        </w:div>
      </w:divsChild>
    </w:div>
    <w:div w:id="1820077245">
      <w:bodyDiv w:val="1"/>
      <w:marLeft w:val="0"/>
      <w:marRight w:val="0"/>
      <w:marTop w:val="0"/>
      <w:marBottom w:val="0"/>
      <w:divBdr>
        <w:top w:val="none" w:sz="0" w:space="0" w:color="auto"/>
        <w:left w:val="none" w:sz="0" w:space="0" w:color="auto"/>
        <w:bottom w:val="none" w:sz="0" w:space="0" w:color="auto"/>
        <w:right w:val="none" w:sz="0" w:space="0" w:color="auto"/>
      </w:divBdr>
      <w:divsChild>
        <w:div w:id="463235878">
          <w:marLeft w:val="555"/>
          <w:marRight w:val="0"/>
          <w:marTop w:val="0"/>
          <w:marBottom w:val="0"/>
          <w:divBdr>
            <w:top w:val="none" w:sz="0" w:space="0" w:color="auto"/>
            <w:left w:val="none" w:sz="0" w:space="0" w:color="auto"/>
            <w:bottom w:val="none" w:sz="0" w:space="0" w:color="auto"/>
            <w:right w:val="none" w:sz="0" w:space="0" w:color="auto"/>
          </w:divBdr>
        </w:div>
        <w:div w:id="1137604444">
          <w:marLeft w:val="555"/>
          <w:marRight w:val="0"/>
          <w:marTop w:val="0"/>
          <w:marBottom w:val="0"/>
          <w:divBdr>
            <w:top w:val="none" w:sz="0" w:space="0" w:color="auto"/>
            <w:left w:val="none" w:sz="0" w:space="0" w:color="auto"/>
            <w:bottom w:val="none" w:sz="0" w:space="0" w:color="auto"/>
            <w:right w:val="none" w:sz="0" w:space="0" w:color="auto"/>
          </w:divBdr>
        </w:div>
      </w:divsChild>
    </w:div>
    <w:div w:id="2092237530">
      <w:bodyDiv w:val="1"/>
      <w:marLeft w:val="0"/>
      <w:marRight w:val="0"/>
      <w:marTop w:val="0"/>
      <w:marBottom w:val="0"/>
      <w:divBdr>
        <w:top w:val="none" w:sz="0" w:space="0" w:color="auto"/>
        <w:left w:val="none" w:sz="0" w:space="0" w:color="auto"/>
        <w:bottom w:val="none" w:sz="0" w:space="0" w:color="auto"/>
        <w:right w:val="none" w:sz="0" w:space="0" w:color="auto"/>
      </w:divBdr>
      <w:divsChild>
        <w:div w:id="113016310">
          <w:marLeft w:val="547"/>
          <w:marRight w:val="0"/>
          <w:marTop w:val="96"/>
          <w:marBottom w:val="0"/>
          <w:divBdr>
            <w:top w:val="none" w:sz="0" w:space="0" w:color="auto"/>
            <w:left w:val="none" w:sz="0" w:space="0" w:color="auto"/>
            <w:bottom w:val="none" w:sz="0" w:space="0" w:color="auto"/>
            <w:right w:val="none" w:sz="0" w:space="0" w:color="auto"/>
          </w:divBdr>
        </w:div>
      </w:divsChild>
    </w:div>
    <w:div w:id="2124378376">
      <w:bodyDiv w:val="1"/>
      <w:marLeft w:val="0"/>
      <w:marRight w:val="0"/>
      <w:marTop w:val="0"/>
      <w:marBottom w:val="0"/>
      <w:divBdr>
        <w:top w:val="none" w:sz="0" w:space="0" w:color="auto"/>
        <w:left w:val="none" w:sz="0" w:space="0" w:color="auto"/>
        <w:bottom w:val="none" w:sz="0" w:space="0" w:color="auto"/>
        <w:right w:val="none" w:sz="0" w:space="0" w:color="auto"/>
      </w:divBdr>
      <w:divsChild>
        <w:div w:id="178068328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2016-02-18T13:16:00Z</cp:lastPrinted>
  <dcterms:created xsi:type="dcterms:W3CDTF">2016-03-23T11:03:00Z</dcterms:created>
  <dcterms:modified xsi:type="dcterms:W3CDTF">2016-03-23T11:03:00Z</dcterms:modified>
</cp:coreProperties>
</file>