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B253DE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0354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9E524B">
        <w:rPr>
          <w:b/>
          <w:sz w:val="24"/>
          <w:szCs w:val="24"/>
        </w:rPr>
        <w:t>764 (</w:t>
      </w:r>
      <w:r w:rsidR="00F05CC8">
        <w:rPr>
          <w:b/>
          <w:sz w:val="24"/>
          <w:szCs w:val="24"/>
        </w:rPr>
        <w:t>57</w:t>
      </w:r>
      <w:r w:rsidR="009E524B">
        <w:rPr>
          <w:b/>
          <w:sz w:val="24"/>
          <w:szCs w:val="24"/>
        </w:rPr>
        <w:t>)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05CC8">
        <w:rPr>
          <w:b/>
          <w:sz w:val="24"/>
          <w:szCs w:val="24"/>
        </w:rPr>
        <w:t>3 SEPTEMBER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F05CC8" w:rsidRPr="00367FA9" w:rsidRDefault="00F05CC8" w:rsidP="00F05CC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367FA9">
        <w:rPr>
          <w:b/>
          <w:sz w:val="24"/>
          <w:szCs w:val="24"/>
        </w:rPr>
        <w:t>Mr L J Basson (DA)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223E68">
        <w:rPr>
          <w:b/>
          <w:noProof/>
          <w:sz w:val="24"/>
          <w:szCs w:val="24"/>
          <w:lang w:val="af-ZA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367FA9">
        <w:rPr>
          <w:b/>
          <w:sz w:val="24"/>
          <w:szCs w:val="24"/>
        </w:rPr>
        <w:t>:</w:t>
      </w:r>
    </w:p>
    <w:p w:rsidR="00F05CC8" w:rsidRPr="00367FA9" w:rsidRDefault="00F05CC8" w:rsidP="00F05CC8">
      <w:pPr>
        <w:spacing w:before="100" w:beforeAutospacing="1" w:after="100" w:afterAutospacing="1"/>
        <w:jc w:val="both"/>
        <w:rPr>
          <w:sz w:val="24"/>
          <w:szCs w:val="24"/>
        </w:rPr>
      </w:pPr>
      <w:r w:rsidRPr="00367FA9">
        <w:rPr>
          <w:sz w:val="24"/>
          <w:szCs w:val="24"/>
        </w:rPr>
        <w:t>(a) By what date will the second phase of the Lesotho Highlands Water Project be completed and (b) what is the projected final cost?</w:t>
      </w:r>
      <w:r w:rsidRPr="00367FA9">
        <w:rPr>
          <w:sz w:val="24"/>
          <w:szCs w:val="24"/>
        </w:rPr>
        <w:tab/>
      </w:r>
      <w:r w:rsidRPr="00367FA9">
        <w:rPr>
          <w:sz w:val="24"/>
          <w:szCs w:val="24"/>
        </w:rPr>
        <w:tab/>
      </w:r>
      <w:r w:rsidRPr="00367FA9">
        <w:rPr>
          <w:sz w:val="24"/>
          <w:szCs w:val="24"/>
        </w:rPr>
        <w:tab/>
      </w:r>
      <w:r w:rsidRPr="00367F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67FA9">
        <w:rPr>
          <w:noProof/>
          <w:szCs w:val="24"/>
          <w:lang w:val="af-ZA"/>
        </w:rPr>
        <w:t>NO1814E</w:t>
      </w:r>
    </w:p>
    <w:p w:rsidR="0084025B" w:rsidRDefault="0084025B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EC63A1" w:rsidRPr="00EC63A1" w:rsidRDefault="00EC63A1" w:rsidP="00EC63A1">
      <w:pPr>
        <w:pStyle w:val="ListParagraph"/>
        <w:numPr>
          <w:ilvl w:val="0"/>
          <w:numId w:val="5"/>
        </w:numPr>
        <w:spacing w:after="0" w:line="336" w:lineRule="auto"/>
        <w:ind w:left="709" w:hanging="709"/>
        <w:jc w:val="both"/>
        <w:rPr>
          <w:rFonts w:ascii="Times New Roman" w:hAnsi="Times New Roman"/>
          <w:bCs/>
        </w:rPr>
      </w:pPr>
      <w:r w:rsidRPr="00EC63A1">
        <w:rPr>
          <w:rFonts w:ascii="Times New Roman" w:hAnsi="Times New Roman"/>
          <w:bCs/>
        </w:rPr>
        <w:t xml:space="preserve">Impoundment of water in Polihali Dam will commence in mid Aug 2024 and water deliveries to Katse Dam </w:t>
      </w:r>
      <w:r w:rsidR="002535C3">
        <w:rPr>
          <w:rFonts w:ascii="Times New Roman" w:hAnsi="Times New Roman"/>
          <w:bCs/>
        </w:rPr>
        <w:t>in</w:t>
      </w:r>
      <w:r w:rsidRPr="00EC63A1">
        <w:rPr>
          <w:rFonts w:ascii="Times New Roman" w:hAnsi="Times New Roman"/>
          <w:bCs/>
        </w:rPr>
        <w:t xml:space="preserve"> Feb 2026. The planned date of completion of the Project is measured when the first water can be delivered from Polihali Dam into Katse Dam.</w:t>
      </w:r>
    </w:p>
    <w:p w:rsidR="00EC63A1" w:rsidRPr="00EC63A1" w:rsidRDefault="00EC63A1" w:rsidP="00EC63A1">
      <w:pPr>
        <w:pStyle w:val="ListParagraph"/>
        <w:ind w:left="1080"/>
        <w:jc w:val="both"/>
        <w:rPr>
          <w:rFonts w:ascii="Times New Roman" w:hAnsi="Times New Roman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4845"/>
      </w:tblGrid>
      <w:tr w:rsidR="00EC63A1" w:rsidRPr="00EC63A1" w:rsidTr="001934F4">
        <w:trPr>
          <w:trHeight w:val="503"/>
        </w:trPr>
        <w:tc>
          <w:tcPr>
            <w:tcW w:w="9356" w:type="dxa"/>
            <w:gridSpan w:val="2"/>
            <w:shd w:val="clear" w:color="auto" w:fill="E7E6E6"/>
          </w:tcPr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PHASE II</w:t>
            </w:r>
          </w:p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MASTER IMPLEMENTATION PROGRAM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</w:tcPr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ITEMS</w:t>
            </w:r>
          </w:p>
        </w:tc>
        <w:tc>
          <w:tcPr>
            <w:tcW w:w="4845" w:type="dxa"/>
            <w:shd w:val="clear" w:color="auto" w:fill="auto"/>
          </w:tcPr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CRITICAL DATES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</w:tcPr>
          <w:p w:rsidR="00EC63A1" w:rsidRPr="001934F4" w:rsidRDefault="00EC63A1" w:rsidP="001934F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  <w:r w:rsidRPr="001934F4">
              <w:rPr>
                <w:rFonts w:ascii="Times New Roman" w:hAnsi="Times New Roman"/>
                <w:bCs/>
              </w:rPr>
              <w:t>Designs of Advanced Infrastructure commenced</w:t>
            </w:r>
          </w:p>
        </w:tc>
        <w:tc>
          <w:tcPr>
            <w:tcW w:w="4845" w:type="dxa"/>
            <w:shd w:val="clear" w:color="auto" w:fill="auto"/>
          </w:tcPr>
          <w:p w:rsidR="00EC63A1" w:rsidRPr="001934F4" w:rsidRDefault="00EC63A1" w:rsidP="001934F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</w:rPr>
            </w:pPr>
            <w:r w:rsidRPr="001934F4">
              <w:rPr>
                <w:rFonts w:ascii="Times New Roman" w:hAnsi="Times New Roman"/>
                <w:bCs/>
              </w:rPr>
              <w:t>Apr 2015 – end Sept 2018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Award tenders for construction of Advanced Infrastructure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End June 2018 – Jan 2020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Tenders awarded for Polihali Dam design and Polihali Tunnel design 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Dam: Jul 2017 </w:t>
            </w:r>
          </w:p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Tunnel:  Nov 2017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Award tenders for construction of Polihali Dam and Tunnel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Dam: Sept 2020  </w:t>
            </w:r>
          </w:p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Tunnel:  Apr 2020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Start impounding water in Polihali dam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Aug 2024</w:t>
            </w:r>
          </w:p>
        </w:tc>
      </w:tr>
      <w:tr w:rsidR="00EC63A1" w:rsidRPr="00EC63A1" w:rsidTr="001934F4">
        <w:tc>
          <w:tcPr>
            <w:tcW w:w="4511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Water delivery to augment Katse Dam for RSA deliveries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EC63A1" w:rsidRPr="001934F4" w:rsidRDefault="002535C3" w:rsidP="001934F4">
            <w:pPr>
              <w:pStyle w:val="NormalWeb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Feb</w:t>
            </w:r>
            <w:r w:rsidR="00EC63A1" w:rsidRPr="001934F4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2026 (Highly dependent on reasonable rainfall)</w:t>
            </w:r>
          </w:p>
        </w:tc>
      </w:tr>
    </w:tbl>
    <w:p w:rsidR="00EC63A1" w:rsidRPr="00EC63A1" w:rsidRDefault="00EC63A1" w:rsidP="00EC63A1">
      <w:pPr>
        <w:contextualSpacing/>
        <w:jc w:val="both"/>
        <w:rPr>
          <w:rFonts w:eastAsia="Calibri"/>
          <w:bCs/>
          <w:sz w:val="22"/>
          <w:szCs w:val="22"/>
        </w:rPr>
      </w:pPr>
    </w:p>
    <w:p w:rsidR="00EC63A1" w:rsidRPr="00EC63A1" w:rsidRDefault="00EC63A1" w:rsidP="00EC63A1">
      <w:pPr>
        <w:pStyle w:val="ListParagraph"/>
        <w:spacing w:line="336" w:lineRule="auto"/>
        <w:ind w:hanging="720"/>
        <w:jc w:val="both"/>
        <w:rPr>
          <w:rFonts w:ascii="Times New Roman" w:hAnsi="Times New Roman"/>
          <w:bCs/>
        </w:rPr>
      </w:pPr>
      <w:r w:rsidRPr="00EC63A1">
        <w:rPr>
          <w:rFonts w:ascii="Times New Roman" w:hAnsi="Times New Roman"/>
          <w:bCs/>
        </w:rPr>
        <w:t>(b)</w:t>
      </w:r>
      <w:r w:rsidRPr="00EC63A1">
        <w:rPr>
          <w:rFonts w:ascii="Times New Roman" w:hAnsi="Times New Roman"/>
          <w:bCs/>
        </w:rPr>
        <w:tab/>
        <w:t>The final cost at completion of Phase II of the Project in 2026 will be R 32,562,290,145.00 this includes provision for escalation due to inflation up to 2026, and a contingency amount to take care of unforeseen circumstances during the implementation of all features of the Project.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2010"/>
        <w:gridCol w:w="2223"/>
        <w:gridCol w:w="2437"/>
      </w:tblGrid>
      <w:tr w:rsidR="00EC63A1" w:rsidRPr="00EC63A1" w:rsidTr="001934F4">
        <w:trPr>
          <w:trHeight w:val="335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 xml:space="preserve">PHASE II  </w:t>
            </w:r>
          </w:p>
          <w:p w:rsidR="00EC63A1" w:rsidRPr="001934F4" w:rsidRDefault="00EC63A1" w:rsidP="00193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BUDGET AND EXPENDITURE TO DATE</w:t>
            </w:r>
          </w:p>
        </w:tc>
      </w:tr>
      <w:tr w:rsidR="00EC63A1" w:rsidRPr="00EC63A1" w:rsidTr="001934F4">
        <w:tc>
          <w:tcPr>
            <w:tcW w:w="9356" w:type="dxa"/>
            <w:gridSpan w:val="4"/>
            <w:shd w:val="clear" w:color="auto" w:fill="auto"/>
            <w:vAlign w:val="center"/>
          </w:tcPr>
          <w:p w:rsidR="00EC63A1" w:rsidRPr="001934F4" w:rsidRDefault="00EC63A1" w:rsidP="001934F4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1934F4">
              <w:rPr>
                <w:rFonts w:ascii="Times New Roman" w:hAnsi="Times New Roman"/>
                <w:b/>
                <w:bCs/>
              </w:rPr>
              <w:t>Water Transfer : Audited costs to June 2019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bottom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Cost by Category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 xml:space="preserve">Revised LTCP </w:t>
            </w:r>
          </w:p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(Nov 2018)</w:t>
            </w:r>
          </w:p>
        </w:tc>
        <w:tc>
          <w:tcPr>
            <w:tcW w:w="2223" w:type="dxa"/>
            <w:shd w:val="clear" w:color="auto" w:fill="auto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Cost to Date</w:t>
            </w:r>
          </w:p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(June 2019)</w:t>
            </w:r>
          </w:p>
        </w:tc>
        <w:tc>
          <w:tcPr>
            <w:tcW w:w="2437" w:type="dxa"/>
            <w:shd w:val="clear" w:color="auto" w:fill="auto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contextualSpacing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Expended 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All Engineering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 xml:space="preserve">2,100,100,033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350 897 766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16,7%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 xml:space="preserve">Construction - Main works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13,204,085,486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-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0,0%</w:t>
            </w:r>
          </w:p>
        </w:tc>
      </w:tr>
      <w:tr w:rsidR="00EC63A1" w:rsidRPr="00EC63A1" w:rsidTr="001934F4">
        <w:trPr>
          <w:trHeight w:val="335"/>
        </w:trPr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Construction - Advanced infrastructure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4,800,345,677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114 284 833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2,4%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Administration &amp; PMU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551,542,109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325 681 635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59,0%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 xml:space="preserve">Environmental &amp; Social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 xml:space="preserve">1,201,963,757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105 330 757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8,8%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Sub-totals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21,858,037,062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896 194 991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4,1%</w:t>
            </w:r>
          </w:p>
        </w:tc>
      </w:tr>
      <w:tr w:rsidR="00EC63A1" w:rsidRPr="00EC63A1" w:rsidTr="001934F4">
        <w:trPr>
          <w:trHeight w:val="335"/>
        </w:trPr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Escalation – LSL (Lesotho Loti)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4,432,007,238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75 305 037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1,7%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Escalation – Forex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2,989,867,884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48 158 208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1,6%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Sub-totals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29,279,912,184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1 019 658 236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3,5%</w:t>
            </w:r>
          </w:p>
        </w:tc>
      </w:tr>
      <w:tr w:rsidR="00EC63A1" w:rsidRPr="00EC63A1" w:rsidTr="001934F4"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Contingency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 xml:space="preserve">3,282,377,961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color w:val="000000"/>
                <w:kern w:val="24"/>
                <w:sz w:val="22"/>
                <w:szCs w:val="22"/>
                <w:lang w:val="en-GB"/>
              </w:rPr>
              <w:t>67 556 115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kern w:val="24"/>
                <w:sz w:val="22"/>
                <w:szCs w:val="22"/>
                <w:lang w:val="en-GB"/>
              </w:rPr>
              <w:t>2,1%</w:t>
            </w:r>
          </w:p>
        </w:tc>
      </w:tr>
      <w:tr w:rsidR="00EC63A1" w:rsidRPr="00EC63A1" w:rsidTr="001934F4">
        <w:trPr>
          <w:trHeight w:val="545"/>
        </w:trPr>
        <w:tc>
          <w:tcPr>
            <w:tcW w:w="2686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 xml:space="preserve">32,562,290,145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right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1 087 214 351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C63A1" w:rsidRPr="001934F4" w:rsidRDefault="00EC63A1" w:rsidP="001934F4">
            <w:pPr>
              <w:pStyle w:val="NormalWeb"/>
              <w:spacing w:before="57" w:beforeAutospacing="0" w:after="57" w:afterAutospacing="0"/>
              <w:jc w:val="center"/>
              <w:rPr>
                <w:sz w:val="22"/>
                <w:szCs w:val="22"/>
              </w:rPr>
            </w:pPr>
            <w:r w:rsidRPr="001934F4">
              <w:rPr>
                <w:b/>
                <w:bCs/>
                <w:kern w:val="24"/>
                <w:sz w:val="22"/>
                <w:szCs w:val="22"/>
                <w:lang w:val="en-GB"/>
              </w:rPr>
              <w:t>3,3%</w:t>
            </w:r>
          </w:p>
        </w:tc>
      </w:tr>
    </w:tbl>
    <w:p w:rsidR="00EC63A1" w:rsidRDefault="00EC63A1" w:rsidP="00EC63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698C">
        <w:rPr>
          <w:rFonts w:ascii="Arial" w:hAnsi="Arial" w:cs="Arial"/>
          <w:sz w:val="16"/>
          <w:szCs w:val="16"/>
        </w:rPr>
        <w:t xml:space="preserve">Note:  </w:t>
      </w:r>
    </w:p>
    <w:p w:rsidR="00EC63A1" w:rsidRPr="00FE698C" w:rsidRDefault="00EC63A1" w:rsidP="00EC63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E698C">
        <w:rPr>
          <w:rFonts w:ascii="Arial" w:hAnsi="Arial" w:cs="Arial"/>
          <w:sz w:val="16"/>
          <w:szCs w:val="16"/>
        </w:rPr>
        <w:t>1. “Cost to date” will increase rapidly since a large number of construction contracts were awarded lately.</w:t>
      </w:r>
    </w:p>
    <w:p w:rsidR="00EC63A1" w:rsidRPr="00FE698C" w:rsidRDefault="00EC63A1" w:rsidP="00EC63A1">
      <w:pPr>
        <w:jc w:val="both"/>
        <w:rPr>
          <w:rFonts w:ascii="Arial" w:hAnsi="Arial" w:cs="Arial"/>
          <w:sz w:val="16"/>
          <w:szCs w:val="16"/>
        </w:rPr>
      </w:pPr>
      <w:r w:rsidRPr="00FE698C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 w:rsidRPr="00FE698C">
        <w:rPr>
          <w:rFonts w:ascii="Arial" w:hAnsi="Arial" w:cs="Arial"/>
          <w:sz w:val="16"/>
          <w:szCs w:val="16"/>
        </w:rPr>
        <w:t>2.   LTCP = Long Term Cost Plan</w:t>
      </w:r>
    </w:p>
    <w:p w:rsidR="00EC63A1" w:rsidRPr="00EC63A1" w:rsidRDefault="00EC63A1" w:rsidP="004A13DD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EC63A1" w:rsidRPr="00EC63A1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72" w:rsidRDefault="009C3572" w:rsidP="00054FEC">
      <w:r>
        <w:separator/>
      </w:r>
    </w:p>
  </w:endnote>
  <w:endnote w:type="continuationSeparator" w:id="0">
    <w:p w:rsidR="009C3572" w:rsidRDefault="009C357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72" w:rsidRDefault="009C3572" w:rsidP="00054FEC">
      <w:r>
        <w:separator/>
      </w:r>
    </w:p>
  </w:footnote>
  <w:footnote w:type="continuationSeparator" w:id="0">
    <w:p w:rsidR="009C3572" w:rsidRDefault="009C357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F05CC8">
      <w:t>7</w:t>
    </w:r>
    <w:r w:rsidR="009E524B">
      <w:t>64</w:t>
    </w:r>
    <w:r w:rsidR="00FC4416">
      <w:t xml:space="preserve"> </w:t>
    </w:r>
    <w:r w:rsidR="00ED344E" w:rsidRPr="00526E7D">
      <w:t>for</w:t>
    </w:r>
    <w:r w:rsidR="00026A5F">
      <w:t xml:space="preserve"> </w:t>
    </w:r>
    <w:r w:rsidR="009E524B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241DA6"/>
    <w:multiLevelType w:val="hybridMultilevel"/>
    <w:tmpl w:val="226289EA"/>
    <w:lvl w:ilvl="0" w:tplc="2244F3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761F"/>
    <w:multiLevelType w:val="hybridMultilevel"/>
    <w:tmpl w:val="F5B22F4C"/>
    <w:lvl w:ilvl="0" w:tplc="FB64B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5D76"/>
    <w:rsid w:val="000163B0"/>
    <w:rsid w:val="00026A5F"/>
    <w:rsid w:val="0003130D"/>
    <w:rsid w:val="00042C5B"/>
    <w:rsid w:val="000540D5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947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34F4"/>
    <w:rsid w:val="0019692B"/>
    <w:rsid w:val="001A1C58"/>
    <w:rsid w:val="001A37B9"/>
    <w:rsid w:val="001A5AA9"/>
    <w:rsid w:val="001B46D4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35C3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D3BB8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669A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354D"/>
    <w:rsid w:val="00506A53"/>
    <w:rsid w:val="00511D74"/>
    <w:rsid w:val="00513641"/>
    <w:rsid w:val="00513FB0"/>
    <w:rsid w:val="0051632D"/>
    <w:rsid w:val="005178B4"/>
    <w:rsid w:val="00517F92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2EE2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2AE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95D3F"/>
    <w:rsid w:val="00895F87"/>
    <w:rsid w:val="008A4484"/>
    <w:rsid w:val="008B0CDF"/>
    <w:rsid w:val="008B0E18"/>
    <w:rsid w:val="008B2848"/>
    <w:rsid w:val="008C22C2"/>
    <w:rsid w:val="008C27D9"/>
    <w:rsid w:val="008C40D0"/>
    <w:rsid w:val="008C5AD0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736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3572"/>
    <w:rsid w:val="009C6091"/>
    <w:rsid w:val="009D5DC1"/>
    <w:rsid w:val="009E4722"/>
    <w:rsid w:val="009E524B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5A76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253DE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D29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5515"/>
    <w:rsid w:val="00E05BE2"/>
    <w:rsid w:val="00E06306"/>
    <w:rsid w:val="00E13A36"/>
    <w:rsid w:val="00E154EB"/>
    <w:rsid w:val="00E17DD6"/>
    <w:rsid w:val="00E2469A"/>
    <w:rsid w:val="00E32382"/>
    <w:rsid w:val="00E32549"/>
    <w:rsid w:val="00E40762"/>
    <w:rsid w:val="00E40CA4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3A1"/>
    <w:rsid w:val="00EC6A09"/>
    <w:rsid w:val="00ED344E"/>
    <w:rsid w:val="00EE300B"/>
    <w:rsid w:val="00EE37B5"/>
    <w:rsid w:val="00EE5A15"/>
    <w:rsid w:val="00EF2319"/>
    <w:rsid w:val="00EF7055"/>
    <w:rsid w:val="00F000D2"/>
    <w:rsid w:val="00F05CC8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67E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416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E4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C63A1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2019-09-12T11:07:00Z</cp:lastPrinted>
  <dcterms:created xsi:type="dcterms:W3CDTF">2019-09-27T10:36:00Z</dcterms:created>
  <dcterms:modified xsi:type="dcterms:W3CDTF">2019-09-27T10:36:00Z</dcterms:modified>
</cp:coreProperties>
</file>