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w:t>
      </w:r>
      <w:r w:rsidR="00EC5EED">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97BDA">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797BDA">
        <w:rPr>
          <w:rFonts w:ascii="Arial" w:hAnsi="Arial" w:cs="Arial"/>
          <w:b/>
          <w:bCs/>
          <w:sz w:val="24"/>
          <w:u w:val="single"/>
        </w:rPr>
        <w:t>8</w:t>
      </w:r>
      <w:r w:rsidRPr="008C527F">
        <w:rPr>
          <w:rFonts w:ascii="Arial" w:hAnsi="Arial" w:cs="Arial"/>
          <w:b/>
          <w:bCs/>
          <w:sz w:val="24"/>
          <w:u w:val="single"/>
        </w:rPr>
        <w:t>)</w:t>
      </w:r>
    </w:p>
    <w:p w:rsidR="00EC5EED" w:rsidRPr="00EC5EED" w:rsidRDefault="00EC5EED" w:rsidP="00EC5EED">
      <w:pPr>
        <w:spacing w:before="100" w:beforeAutospacing="1" w:after="100" w:afterAutospacing="1" w:line="240" w:lineRule="auto"/>
        <w:jc w:val="both"/>
        <w:rPr>
          <w:rFonts w:ascii="Arial" w:hAnsi="Arial" w:cs="Arial"/>
          <w:b/>
          <w:sz w:val="24"/>
          <w:szCs w:val="24"/>
          <w:u w:val="single"/>
          <w:lang w:val="en-GB"/>
        </w:rPr>
      </w:pPr>
      <w:r w:rsidRPr="00EC5EED">
        <w:rPr>
          <w:rFonts w:ascii="Arial" w:hAnsi="Arial" w:cs="Arial"/>
          <w:b/>
          <w:sz w:val="24"/>
          <w:szCs w:val="24"/>
          <w:u w:val="single"/>
          <w:lang w:val="en-GB"/>
        </w:rPr>
        <w:t>Mrs M O Clarke (DA) to ask the Minister of Health</w:t>
      </w:r>
      <w:r w:rsidR="00314B7C" w:rsidRPr="00EC5EED">
        <w:rPr>
          <w:rFonts w:ascii="Arial" w:hAnsi="Arial" w:cs="Arial"/>
          <w:b/>
          <w:sz w:val="24"/>
          <w:szCs w:val="24"/>
          <w:u w:val="single"/>
          <w:lang w:val="en-GB"/>
        </w:rPr>
        <w:fldChar w:fldCharType="begin"/>
      </w:r>
      <w:r w:rsidRPr="00EC5EED">
        <w:rPr>
          <w:rFonts w:ascii="Arial" w:hAnsi="Arial" w:cs="Arial"/>
          <w:u w:val="single"/>
        </w:rPr>
        <w:instrText xml:space="preserve"> XE "</w:instrText>
      </w:r>
      <w:r w:rsidRPr="00EC5EED">
        <w:rPr>
          <w:rFonts w:ascii="Arial" w:eastAsia="Times New Roman" w:hAnsi="Arial" w:cs="Arial"/>
          <w:b/>
          <w:sz w:val="24"/>
          <w:szCs w:val="24"/>
          <w:u w:val="single"/>
          <w:lang w:val="en-GB"/>
        </w:rPr>
        <w:instrText>Minister</w:instrText>
      </w:r>
      <w:r w:rsidRPr="00EC5EED">
        <w:rPr>
          <w:rFonts w:ascii="Arial" w:hAnsi="Arial" w:cs="Arial"/>
          <w:b/>
          <w:sz w:val="24"/>
          <w:szCs w:val="24"/>
          <w:u w:val="single"/>
          <w:lang w:val="en-GB"/>
        </w:rPr>
        <w:instrText xml:space="preserve"> of Health</w:instrText>
      </w:r>
      <w:r w:rsidRPr="00EC5EED">
        <w:rPr>
          <w:rFonts w:ascii="Arial" w:hAnsi="Arial" w:cs="Arial"/>
          <w:u w:val="single"/>
        </w:rPr>
        <w:instrText xml:space="preserve">" </w:instrText>
      </w:r>
      <w:r w:rsidR="00314B7C" w:rsidRPr="00EC5EED">
        <w:rPr>
          <w:rFonts w:ascii="Arial" w:hAnsi="Arial" w:cs="Arial"/>
          <w:b/>
          <w:sz w:val="24"/>
          <w:szCs w:val="24"/>
          <w:u w:val="single"/>
          <w:lang w:val="en-GB"/>
        </w:rPr>
        <w:fldChar w:fldCharType="end"/>
      </w:r>
      <w:r w:rsidRPr="00EC5EED">
        <w:rPr>
          <w:rFonts w:ascii="Arial" w:hAnsi="Arial" w:cs="Arial"/>
          <w:b/>
          <w:sz w:val="24"/>
          <w:szCs w:val="24"/>
          <w:u w:val="single"/>
          <w:lang w:val="en-GB"/>
        </w:rPr>
        <w:t>:</w:t>
      </w:r>
    </w:p>
    <w:p w:rsidR="00EC5EED" w:rsidRPr="00EC5EED" w:rsidRDefault="00EC5EED" w:rsidP="00EC5EED">
      <w:pPr>
        <w:spacing w:before="100" w:beforeAutospacing="1" w:after="100" w:afterAutospacing="1" w:line="240" w:lineRule="auto"/>
        <w:ind w:left="709" w:hanging="675"/>
        <w:jc w:val="both"/>
        <w:rPr>
          <w:rFonts w:ascii="Arial" w:hAnsi="Arial" w:cs="Arial"/>
          <w:sz w:val="24"/>
          <w:szCs w:val="24"/>
          <w:lang w:val="en-GB"/>
        </w:rPr>
      </w:pPr>
      <w:r w:rsidRPr="00EC5EED">
        <w:rPr>
          <w:rFonts w:ascii="Arial" w:hAnsi="Arial" w:cs="Arial"/>
          <w:sz w:val="24"/>
          <w:szCs w:val="24"/>
          <w:lang w:val="en-GB"/>
        </w:rPr>
        <w:t>(1)</w:t>
      </w:r>
      <w:r w:rsidRPr="00EC5EED">
        <w:rPr>
          <w:rFonts w:ascii="Arial" w:hAnsi="Arial" w:cs="Arial"/>
          <w:sz w:val="24"/>
          <w:szCs w:val="24"/>
          <w:lang w:val="en-GB"/>
        </w:rPr>
        <w:tab/>
        <w:t xml:space="preserve">For each province, what (a) total number of nurses have been terminated due to their registration lapsing at the Health Professions Council of South Africa and (b) has been the reasons </w:t>
      </w:r>
      <w:r w:rsidRPr="00EC5EED">
        <w:rPr>
          <w:rFonts w:ascii="Arial" w:eastAsia="Times New Roman" w:hAnsi="Arial" w:cs="Arial"/>
          <w:sz w:val="24"/>
          <w:szCs w:val="24"/>
          <w:lang w:val="en-GB"/>
        </w:rPr>
        <w:t>for</w:t>
      </w:r>
      <w:r w:rsidRPr="00EC5EED">
        <w:rPr>
          <w:rFonts w:ascii="Arial" w:hAnsi="Arial" w:cs="Arial"/>
          <w:sz w:val="24"/>
          <w:szCs w:val="24"/>
          <w:lang w:val="en-GB"/>
        </w:rPr>
        <w:t xml:space="preserve"> the registration lapses;</w:t>
      </w:r>
    </w:p>
    <w:p w:rsidR="002C2A10" w:rsidRPr="00E55476" w:rsidRDefault="00EC5EED" w:rsidP="00EC5EED">
      <w:pPr>
        <w:spacing w:before="100" w:beforeAutospacing="1" w:after="100" w:afterAutospacing="1" w:line="240" w:lineRule="auto"/>
        <w:ind w:left="709" w:hanging="709"/>
        <w:jc w:val="both"/>
        <w:rPr>
          <w:rFonts w:ascii="Times New Roman" w:hAnsi="Times New Roman" w:cs="Times New Roman"/>
          <w:sz w:val="20"/>
          <w:szCs w:val="20"/>
          <w:lang w:val="en-GB"/>
        </w:rPr>
      </w:pPr>
      <w:r w:rsidRPr="00EC5EED">
        <w:rPr>
          <w:rFonts w:ascii="Arial" w:hAnsi="Arial" w:cs="Arial"/>
          <w:sz w:val="24"/>
          <w:szCs w:val="24"/>
          <w:lang w:val="en-GB"/>
        </w:rPr>
        <w:t>(2)</w:t>
      </w:r>
      <w:r w:rsidRPr="00EC5EED">
        <w:rPr>
          <w:rFonts w:ascii="Arial" w:hAnsi="Arial" w:cs="Arial"/>
          <w:sz w:val="24"/>
          <w:szCs w:val="24"/>
          <w:lang w:val="en-GB"/>
        </w:rPr>
        <w:tab/>
        <w:t>given the critical shortage of nurses, what steps have been taken to assist nurses with their lapsed registration?</w:t>
      </w:r>
      <w:r w:rsidRPr="00866088">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E55476">
        <w:rPr>
          <w:rFonts w:ascii="Arial" w:hAnsi="Arial" w:cs="Arial"/>
          <w:b/>
          <w:bCs/>
          <w:sz w:val="12"/>
          <w:szCs w:val="12"/>
        </w:rPr>
        <w:t>85</w:t>
      </w:r>
      <w:r>
        <w:rPr>
          <w:rFonts w:ascii="Arial" w:hAnsi="Arial" w:cs="Arial"/>
          <w:b/>
          <w:bCs/>
          <w:sz w:val="12"/>
          <w:szCs w:val="12"/>
        </w:rPr>
        <w:t>9</w:t>
      </w:r>
      <w:r w:rsidR="008C527F" w:rsidRPr="0020357C">
        <w:rPr>
          <w:rFonts w:ascii="Arial" w:hAnsi="Arial" w:cs="Arial"/>
          <w:b/>
          <w:bCs/>
          <w:sz w:val="12"/>
          <w:szCs w:val="12"/>
        </w:rPr>
        <w:t>E</w:t>
      </w:r>
    </w:p>
    <w:p w:rsidR="006228AA" w:rsidRPr="00C057AA" w:rsidRDefault="006228AA" w:rsidP="00C057AA">
      <w:pPr>
        <w:spacing w:before="240" w:line="24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06704A" w:rsidRPr="00D611E3" w:rsidRDefault="004A44E4" w:rsidP="00D611E3">
      <w:pPr>
        <w:spacing w:after="0" w:line="240" w:lineRule="auto"/>
        <w:jc w:val="both"/>
        <w:rPr>
          <w:rFonts w:ascii="Arial" w:hAnsi="Arial" w:cs="Arial"/>
          <w:sz w:val="24"/>
          <w:szCs w:val="24"/>
        </w:rPr>
      </w:pPr>
      <w:r>
        <w:rPr>
          <w:rStyle w:val="contentpasted0"/>
          <w:rFonts w:ascii="Arial" w:hAnsi="Arial" w:cs="Arial"/>
          <w:color w:val="3C4245"/>
          <w:sz w:val="24"/>
          <w:szCs w:val="24"/>
        </w:rPr>
        <w:t> </w:t>
      </w:r>
    </w:p>
    <w:p w:rsidR="00D611E3" w:rsidRDefault="00D611E3" w:rsidP="00D611E3">
      <w:pPr>
        <w:pStyle w:val="NormalWeb"/>
        <w:numPr>
          <w:ilvl w:val="0"/>
          <w:numId w:val="14"/>
        </w:numPr>
        <w:shd w:val="clear" w:color="auto" w:fill="FFFFFF"/>
        <w:spacing w:before="0" w:beforeAutospacing="0" w:after="0" w:afterAutospacing="0"/>
        <w:ind w:left="709" w:hanging="709"/>
        <w:jc w:val="both"/>
        <w:rPr>
          <w:rFonts w:ascii="Arial" w:hAnsi="Arial" w:cs="Arial"/>
          <w:color w:val="000000"/>
          <w:bdr w:val="none" w:sz="0" w:space="0" w:color="auto" w:frame="1"/>
          <w:lang w:val="en-GB"/>
        </w:rPr>
      </w:pPr>
      <w:r w:rsidRPr="00D611E3">
        <w:rPr>
          <w:rFonts w:ascii="Arial" w:hAnsi="Arial" w:cs="Arial"/>
          <w:color w:val="000000"/>
          <w:bdr w:val="none" w:sz="0" w:space="0" w:color="auto" w:frame="1"/>
          <w:lang w:val="en-GB"/>
        </w:rPr>
        <w:t xml:space="preserve">The honourable member should note that nurses do not register with the Health Professions Council of South Africa (HPCSA), but with the South African Nursing Council (SANC). </w:t>
      </w:r>
    </w:p>
    <w:p w:rsidR="00D611E3" w:rsidRDefault="00D611E3" w:rsidP="00D611E3">
      <w:pPr>
        <w:pStyle w:val="NormalWeb"/>
        <w:shd w:val="clear" w:color="auto" w:fill="FFFFFF"/>
        <w:spacing w:before="0" w:beforeAutospacing="0" w:after="0" w:afterAutospacing="0"/>
        <w:ind w:left="709"/>
        <w:jc w:val="both"/>
        <w:rPr>
          <w:rFonts w:ascii="Arial" w:hAnsi="Arial" w:cs="Arial"/>
          <w:color w:val="000000"/>
          <w:bdr w:val="none" w:sz="0" w:space="0" w:color="auto" w:frame="1"/>
          <w:lang w:val="en-GB"/>
        </w:rPr>
      </w:pPr>
    </w:p>
    <w:p w:rsidR="00D611E3" w:rsidRDefault="00D611E3" w:rsidP="00D611E3">
      <w:pPr>
        <w:pStyle w:val="NormalWeb"/>
        <w:shd w:val="clear" w:color="auto" w:fill="FFFFFF"/>
        <w:spacing w:before="0" w:beforeAutospacing="0" w:after="0" w:afterAutospacing="0"/>
        <w:ind w:left="1439" w:hanging="730"/>
        <w:jc w:val="both"/>
        <w:rPr>
          <w:rFonts w:ascii="Arial" w:hAnsi="Arial" w:cs="Arial"/>
          <w:color w:val="000000"/>
          <w:bdr w:val="none" w:sz="0" w:space="0" w:color="auto" w:frame="1"/>
          <w:lang w:val="en-GB"/>
        </w:rPr>
      </w:pPr>
      <w:r w:rsidRPr="00D611E3">
        <w:rPr>
          <w:rFonts w:ascii="Arial" w:hAnsi="Arial" w:cs="Arial"/>
          <w:color w:val="000000"/>
          <w:bdr w:val="none" w:sz="0" w:space="0" w:color="auto" w:frame="1"/>
          <w:lang w:val="en-GB"/>
        </w:rPr>
        <w:t>(a)</w:t>
      </w:r>
      <w:r>
        <w:rPr>
          <w:rFonts w:ascii="Arial" w:hAnsi="Arial" w:cs="Arial"/>
          <w:color w:val="000000"/>
          <w:bdr w:val="none" w:sz="0" w:space="0" w:color="auto" w:frame="1"/>
          <w:lang w:val="en-GB"/>
        </w:rPr>
        <w:t>-(b)</w:t>
      </w:r>
      <w:r>
        <w:rPr>
          <w:rFonts w:ascii="Arial" w:hAnsi="Arial" w:cs="Arial"/>
          <w:color w:val="000000"/>
          <w:bdr w:val="none" w:sz="0" w:space="0" w:color="auto" w:frame="1"/>
          <w:lang w:val="en-GB"/>
        </w:rPr>
        <w:tab/>
      </w:r>
      <w:r w:rsidRPr="00D611E3">
        <w:rPr>
          <w:rFonts w:ascii="Arial" w:hAnsi="Arial" w:cs="Arial"/>
          <w:color w:val="000000"/>
          <w:bdr w:val="none" w:sz="0" w:space="0" w:color="auto" w:frame="1"/>
          <w:lang w:val="en-GB"/>
        </w:rPr>
        <w:t>As per the information received from the SANC, the total number of nurses whose membership was terminated or their names removed due to their registration lapsing is 21 332 over the period of 2021 to 2022</w:t>
      </w:r>
      <w:r>
        <w:rPr>
          <w:rFonts w:ascii="Arial" w:hAnsi="Arial" w:cs="Arial"/>
          <w:color w:val="000000"/>
          <w:bdr w:val="none" w:sz="0" w:space="0" w:color="auto" w:frame="1"/>
          <w:lang w:val="en-GB"/>
        </w:rPr>
        <w:t>, as per the table below</w:t>
      </w:r>
      <w:r w:rsidRPr="00D611E3">
        <w:rPr>
          <w:rFonts w:ascii="Arial" w:hAnsi="Arial" w:cs="Arial"/>
          <w:color w:val="000000"/>
          <w:bdr w:val="none" w:sz="0" w:space="0" w:color="auto" w:frame="1"/>
          <w:lang w:val="en-GB"/>
        </w:rPr>
        <w:t>.</w:t>
      </w:r>
      <w:r>
        <w:rPr>
          <w:rFonts w:ascii="Arial" w:hAnsi="Arial" w:cs="Arial"/>
          <w:color w:val="000000"/>
          <w:bdr w:val="none" w:sz="0" w:space="0" w:color="auto" w:frame="1"/>
          <w:lang w:val="en-GB"/>
        </w:rPr>
        <w:t xml:space="preserve"> The reasons are also reflected in the very table below.</w:t>
      </w:r>
    </w:p>
    <w:p w:rsidR="00D611E3" w:rsidRDefault="00D611E3" w:rsidP="00D611E3">
      <w:pPr>
        <w:pStyle w:val="NormalWeb"/>
        <w:shd w:val="clear" w:color="auto" w:fill="FFFFFF"/>
        <w:spacing w:before="0" w:beforeAutospacing="0" w:after="0" w:afterAutospacing="0"/>
        <w:ind w:left="709"/>
        <w:jc w:val="both"/>
        <w:rPr>
          <w:rFonts w:ascii="Arial" w:hAnsi="Arial" w:cs="Arial"/>
          <w:color w:val="000000"/>
          <w:bdr w:val="none" w:sz="0" w:space="0" w:color="auto" w:frame="1"/>
          <w:lang w:val="en-GB"/>
        </w:rPr>
      </w:pPr>
    </w:p>
    <w:p w:rsidR="00D611E3" w:rsidRDefault="00D611E3" w:rsidP="00D611E3">
      <w:pPr>
        <w:pStyle w:val="NormalWeb"/>
        <w:shd w:val="clear" w:color="auto" w:fill="FFFFFF"/>
        <w:spacing w:before="0" w:beforeAutospacing="0" w:after="0" w:afterAutospacing="0"/>
        <w:ind w:left="720"/>
        <w:jc w:val="both"/>
        <w:rPr>
          <w:rFonts w:ascii="Arial" w:hAnsi="Arial" w:cs="Arial"/>
          <w:color w:val="000000"/>
          <w:bdr w:val="none" w:sz="0" w:space="0" w:color="auto" w:frame="1"/>
          <w:lang w:val="en-GB"/>
        </w:rPr>
      </w:pPr>
      <w:r>
        <w:rPr>
          <w:rFonts w:ascii="Arial" w:hAnsi="Arial" w:cs="Arial"/>
          <w:color w:val="000000"/>
          <w:bdr w:val="none" w:sz="0" w:space="0" w:color="auto" w:frame="1"/>
          <w:lang w:val="en-GB"/>
        </w:rPr>
        <w:t xml:space="preserve">Table 1. </w:t>
      </w:r>
    </w:p>
    <w:tbl>
      <w:tblPr>
        <w:tblW w:w="10206" w:type="dxa"/>
        <w:tblInd w:w="132" w:type="dxa"/>
        <w:tblLook w:val="04A0"/>
      </w:tblPr>
      <w:tblGrid>
        <w:gridCol w:w="1701"/>
        <w:gridCol w:w="1276"/>
        <w:gridCol w:w="1984"/>
        <w:gridCol w:w="1276"/>
        <w:gridCol w:w="1464"/>
        <w:gridCol w:w="1371"/>
        <w:gridCol w:w="1134"/>
      </w:tblGrid>
      <w:tr w:rsidR="00D611E3" w:rsidRPr="00D611E3" w:rsidTr="00D611E3">
        <w:trPr>
          <w:trHeight w:val="300"/>
        </w:trPr>
        <w:tc>
          <w:tcPr>
            <w:tcW w:w="1701" w:type="dxa"/>
            <w:tcBorders>
              <w:top w:val="single" w:sz="8" w:space="0" w:color="auto"/>
              <w:left w:val="single" w:sz="8" w:space="0" w:color="auto"/>
              <w:bottom w:val="single" w:sz="4" w:space="0" w:color="auto"/>
              <w:right w:val="single" w:sz="4" w:space="0" w:color="auto"/>
            </w:tcBorders>
            <w:shd w:val="clear" w:color="DDEBF7" w:fill="70AD47"/>
            <w:noWrap/>
            <w:vAlign w:val="bottom"/>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 </w:t>
            </w:r>
          </w:p>
        </w:tc>
        <w:tc>
          <w:tcPr>
            <w:tcW w:w="8505" w:type="dxa"/>
            <w:gridSpan w:val="6"/>
            <w:tcBorders>
              <w:top w:val="single" w:sz="8" w:space="0" w:color="auto"/>
              <w:left w:val="nil"/>
              <w:bottom w:val="single" w:sz="4" w:space="0" w:color="auto"/>
              <w:right w:val="single" w:sz="8" w:space="0" w:color="000000"/>
            </w:tcBorders>
            <w:shd w:val="clear" w:color="DDEBF7" w:fill="70AD47"/>
            <w:noWrap/>
            <w:vAlign w:val="bottom"/>
            <w:hideMark/>
          </w:tcPr>
          <w:p w:rsidR="00D611E3" w:rsidRPr="00D611E3" w:rsidRDefault="00D611E3" w:rsidP="00D611E3">
            <w:pPr>
              <w:spacing w:line="240" w:lineRule="auto"/>
              <w:jc w:val="center"/>
              <w:rPr>
                <w:rFonts w:ascii="Arial" w:hAnsi="Arial" w:cs="Arial"/>
                <w:b/>
                <w:bCs/>
                <w:color w:val="000000"/>
              </w:rPr>
            </w:pPr>
            <w:r w:rsidRPr="00D611E3">
              <w:rPr>
                <w:rFonts w:ascii="Arial" w:hAnsi="Arial" w:cs="Arial"/>
                <w:b/>
                <w:bCs/>
                <w:color w:val="000000"/>
              </w:rPr>
              <w:t xml:space="preserve">Reason for removal </w:t>
            </w:r>
          </w:p>
        </w:tc>
      </w:tr>
      <w:tr w:rsidR="00D611E3" w:rsidRPr="00D611E3" w:rsidTr="00D611E3">
        <w:trPr>
          <w:trHeight w:val="955"/>
        </w:trPr>
        <w:tc>
          <w:tcPr>
            <w:tcW w:w="1701" w:type="dxa"/>
            <w:tcBorders>
              <w:top w:val="nil"/>
              <w:left w:val="single" w:sz="8" w:space="0" w:color="auto"/>
              <w:bottom w:val="single" w:sz="4" w:space="0" w:color="auto"/>
              <w:right w:val="single" w:sz="4" w:space="0" w:color="auto"/>
            </w:tcBorders>
            <w:shd w:val="clear" w:color="DDEBF7" w:fill="70AD47"/>
            <w:noWrap/>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Province</w:t>
            </w:r>
          </w:p>
        </w:tc>
        <w:tc>
          <w:tcPr>
            <w:tcW w:w="1276" w:type="dxa"/>
            <w:tcBorders>
              <w:top w:val="nil"/>
              <w:left w:val="nil"/>
              <w:bottom w:val="single" w:sz="4" w:space="0" w:color="auto"/>
              <w:right w:val="single" w:sz="4" w:space="0" w:color="auto"/>
            </w:tcBorders>
            <w:shd w:val="clear" w:color="DDEBF7" w:fill="70AD47"/>
            <w:noWrap/>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 xml:space="preserve">Deceased                           </w:t>
            </w:r>
          </w:p>
        </w:tc>
        <w:tc>
          <w:tcPr>
            <w:tcW w:w="1984" w:type="dxa"/>
            <w:tcBorders>
              <w:top w:val="nil"/>
              <w:left w:val="nil"/>
              <w:bottom w:val="single" w:sz="4" w:space="0" w:color="auto"/>
              <w:right w:val="single" w:sz="4" w:space="0" w:color="auto"/>
            </w:tcBorders>
            <w:shd w:val="clear" w:color="DDEBF7" w:fill="70AD47"/>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 xml:space="preserve">Removed - Administratively         </w:t>
            </w:r>
          </w:p>
        </w:tc>
        <w:tc>
          <w:tcPr>
            <w:tcW w:w="1276" w:type="dxa"/>
            <w:tcBorders>
              <w:top w:val="nil"/>
              <w:left w:val="nil"/>
              <w:bottom w:val="single" w:sz="4" w:space="0" w:color="auto"/>
              <w:right w:val="single" w:sz="4" w:space="0" w:color="auto"/>
            </w:tcBorders>
            <w:shd w:val="clear" w:color="DDEBF7" w:fill="70AD47"/>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 xml:space="preserve">Removed - At own request           </w:t>
            </w:r>
          </w:p>
        </w:tc>
        <w:tc>
          <w:tcPr>
            <w:tcW w:w="1464" w:type="dxa"/>
            <w:tcBorders>
              <w:top w:val="nil"/>
              <w:left w:val="nil"/>
              <w:bottom w:val="single" w:sz="4" w:space="0" w:color="auto"/>
              <w:right w:val="single" w:sz="4" w:space="0" w:color="auto"/>
            </w:tcBorders>
            <w:shd w:val="clear" w:color="DDEBF7" w:fill="70AD47"/>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 xml:space="preserve">Removed - Disciplinary             </w:t>
            </w:r>
          </w:p>
        </w:tc>
        <w:tc>
          <w:tcPr>
            <w:tcW w:w="1371" w:type="dxa"/>
            <w:tcBorders>
              <w:top w:val="nil"/>
              <w:left w:val="nil"/>
              <w:bottom w:val="single" w:sz="4" w:space="0" w:color="auto"/>
              <w:right w:val="single" w:sz="4" w:space="0" w:color="auto"/>
            </w:tcBorders>
            <w:shd w:val="clear" w:color="DDEBF7" w:fill="70AD47"/>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Removed - Non-payment of annual fee</w:t>
            </w:r>
          </w:p>
        </w:tc>
        <w:tc>
          <w:tcPr>
            <w:tcW w:w="1134" w:type="dxa"/>
            <w:tcBorders>
              <w:top w:val="nil"/>
              <w:left w:val="nil"/>
              <w:bottom w:val="single" w:sz="4" w:space="0" w:color="auto"/>
              <w:right w:val="single" w:sz="8" w:space="0" w:color="auto"/>
            </w:tcBorders>
            <w:shd w:val="clear" w:color="DDEBF7" w:fill="70AD47"/>
            <w:noWrap/>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Grand Total</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Eastern Cape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14</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8</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3020</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3045</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Free State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1086</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1089</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Gauteng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24</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32</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5</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5257</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5321</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KwaZulu-Natal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39</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5</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27</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0</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4708</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4779</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Limpopo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16</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1622</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1643</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Mpumalanga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0</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929</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934</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North-West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8</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5</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1362</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1375</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Northern Cape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0</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1</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343</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345</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Outside RSA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4</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84</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88</w:t>
            </w:r>
          </w:p>
        </w:tc>
      </w:tr>
      <w:tr w:rsidR="00D611E3" w:rsidRPr="00D611E3" w:rsidTr="00D611E3">
        <w:trPr>
          <w:trHeight w:val="300"/>
        </w:trPr>
        <w:tc>
          <w:tcPr>
            <w:tcW w:w="1701" w:type="dxa"/>
            <w:tcBorders>
              <w:top w:val="nil"/>
              <w:left w:val="single" w:sz="8" w:space="0" w:color="auto"/>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rPr>
                <w:rFonts w:ascii="Arial" w:hAnsi="Arial" w:cs="Arial"/>
                <w:color w:val="000000"/>
              </w:rPr>
            </w:pPr>
            <w:r w:rsidRPr="00D611E3">
              <w:rPr>
                <w:rFonts w:ascii="Arial" w:hAnsi="Arial" w:cs="Arial"/>
                <w:color w:val="000000"/>
              </w:rPr>
              <w:t xml:space="preserve">Western Cape                            </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7</w:t>
            </w:r>
          </w:p>
        </w:tc>
        <w:tc>
          <w:tcPr>
            <w:tcW w:w="198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6</w:t>
            </w:r>
          </w:p>
        </w:tc>
        <w:tc>
          <w:tcPr>
            <w:tcW w:w="1276"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21</w:t>
            </w:r>
          </w:p>
        </w:tc>
        <w:tc>
          <w:tcPr>
            <w:tcW w:w="1464"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0</w:t>
            </w:r>
          </w:p>
        </w:tc>
        <w:tc>
          <w:tcPr>
            <w:tcW w:w="1371" w:type="dxa"/>
            <w:tcBorders>
              <w:top w:val="nil"/>
              <w:left w:val="nil"/>
              <w:bottom w:val="single" w:sz="4" w:space="0" w:color="auto"/>
              <w:right w:val="single" w:sz="4"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2679</w:t>
            </w:r>
          </w:p>
        </w:tc>
        <w:tc>
          <w:tcPr>
            <w:tcW w:w="1134" w:type="dxa"/>
            <w:tcBorders>
              <w:top w:val="nil"/>
              <w:left w:val="nil"/>
              <w:bottom w:val="single" w:sz="4" w:space="0" w:color="auto"/>
              <w:right w:val="single" w:sz="8" w:space="0" w:color="auto"/>
            </w:tcBorders>
            <w:shd w:val="clear" w:color="000000" w:fill="BDD7EE"/>
            <w:noWrap/>
            <w:vAlign w:val="bottom"/>
            <w:hideMark/>
          </w:tcPr>
          <w:p w:rsidR="00D611E3" w:rsidRPr="00D611E3" w:rsidRDefault="00D611E3" w:rsidP="00D611E3">
            <w:pPr>
              <w:spacing w:after="0" w:line="240" w:lineRule="auto"/>
              <w:jc w:val="right"/>
              <w:rPr>
                <w:rFonts w:ascii="Arial" w:hAnsi="Arial" w:cs="Arial"/>
                <w:color w:val="000000"/>
              </w:rPr>
            </w:pPr>
            <w:r w:rsidRPr="00D611E3">
              <w:rPr>
                <w:rFonts w:ascii="Arial" w:hAnsi="Arial" w:cs="Arial"/>
                <w:color w:val="000000"/>
              </w:rPr>
              <w:t>2713</w:t>
            </w:r>
          </w:p>
        </w:tc>
      </w:tr>
      <w:tr w:rsidR="00D611E3" w:rsidRPr="00D611E3" w:rsidTr="00D611E3">
        <w:trPr>
          <w:trHeight w:val="315"/>
        </w:trPr>
        <w:tc>
          <w:tcPr>
            <w:tcW w:w="1701" w:type="dxa"/>
            <w:tcBorders>
              <w:top w:val="nil"/>
              <w:left w:val="single" w:sz="8" w:space="0" w:color="auto"/>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rPr>
                <w:rFonts w:ascii="Arial" w:hAnsi="Arial" w:cs="Arial"/>
                <w:b/>
                <w:bCs/>
                <w:color w:val="000000"/>
              </w:rPr>
            </w:pPr>
            <w:r w:rsidRPr="00D611E3">
              <w:rPr>
                <w:rFonts w:ascii="Arial" w:hAnsi="Arial" w:cs="Arial"/>
                <w:b/>
                <w:bCs/>
                <w:color w:val="000000"/>
              </w:rPr>
              <w:t>Grand Total</w:t>
            </w:r>
          </w:p>
        </w:tc>
        <w:tc>
          <w:tcPr>
            <w:tcW w:w="1276" w:type="dxa"/>
            <w:tcBorders>
              <w:top w:val="nil"/>
              <w:left w:val="nil"/>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111</w:t>
            </w:r>
          </w:p>
        </w:tc>
        <w:tc>
          <w:tcPr>
            <w:tcW w:w="1984" w:type="dxa"/>
            <w:tcBorders>
              <w:top w:val="nil"/>
              <w:left w:val="nil"/>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18</w:t>
            </w:r>
          </w:p>
        </w:tc>
        <w:tc>
          <w:tcPr>
            <w:tcW w:w="1276" w:type="dxa"/>
            <w:tcBorders>
              <w:top w:val="nil"/>
              <w:left w:val="nil"/>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103</w:t>
            </w:r>
          </w:p>
        </w:tc>
        <w:tc>
          <w:tcPr>
            <w:tcW w:w="1464" w:type="dxa"/>
            <w:tcBorders>
              <w:top w:val="nil"/>
              <w:left w:val="nil"/>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10</w:t>
            </w:r>
          </w:p>
        </w:tc>
        <w:tc>
          <w:tcPr>
            <w:tcW w:w="1371" w:type="dxa"/>
            <w:tcBorders>
              <w:top w:val="nil"/>
              <w:left w:val="nil"/>
              <w:bottom w:val="single" w:sz="8" w:space="0" w:color="auto"/>
              <w:right w:val="single" w:sz="4"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21090</w:t>
            </w:r>
          </w:p>
        </w:tc>
        <w:tc>
          <w:tcPr>
            <w:tcW w:w="1134" w:type="dxa"/>
            <w:tcBorders>
              <w:top w:val="nil"/>
              <w:left w:val="nil"/>
              <w:bottom w:val="single" w:sz="8" w:space="0" w:color="auto"/>
              <w:right w:val="single" w:sz="8" w:space="0" w:color="auto"/>
            </w:tcBorders>
            <w:shd w:val="clear" w:color="DDEBF7" w:fill="70AD47"/>
            <w:noWrap/>
            <w:vAlign w:val="bottom"/>
            <w:hideMark/>
          </w:tcPr>
          <w:p w:rsidR="00D611E3" w:rsidRPr="00D611E3" w:rsidRDefault="00D611E3" w:rsidP="00D611E3">
            <w:pPr>
              <w:spacing w:line="240" w:lineRule="auto"/>
              <w:jc w:val="right"/>
              <w:rPr>
                <w:rFonts w:ascii="Arial" w:hAnsi="Arial" w:cs="Arial"/>
                <w:b/>
                <w:bCs/>
                <w:color w:val="000000"/>
              </w:rPr>
            </w:pPr>
            <w:r w:rsidRPr="00D611E3">
              <w:rPr>
                <w:rFonts w:ascii="Arial" w:hAnsi="Arial" w:cs="Arial"/>
                <w:b/>
                <w:bCs/>
                <w:color w:val="000000"/>
              </w:rPr>
              <w:t>21332</w:t>
            </w:r>
          </w:p>
        </w:tc>
      </w:tr>
    </w:tbl>
    <w:p w:rsidR="00D611E3" w:rsidRPr="00D611E3" w:rsidRDefault="00D611E3" w:rsidP="00D611E3">
      <w:pPr>
        <w:pStyle w:val="NormalWeb"/>
        <w:shd w:val="clear" w:color="auto" w:fill="FFFFFF"/>
        <w:spacing w:before="0" w:beforeAutospacing="0" w:after="0" w:afterAutospacing="0"/>
        <w:ind w:left="360" w:hanging="360"/>
        <w:jc w:val="both"/>
        <w:rPr>
          <w:rFonts w:ascii="Arial" w:hAnsi="Arial" w:cs="Arial"/>
          <w:color w:val="424242"/>
        </w:rPr>
      </w:pPr>
    </w:p>
    <w:p w:rsidR="00D611E3" w:rsidRPr="00D611E3" w:rsidRDefault="00D611E3" w:rsidP="00D611E3">
      <w:pPr>
        <w:pStyle w:val="ListParagraph"/>
        <w:keepNext/>
        <w:keepLines/>
        <w:numPr>
          <w:ilvl w:val="0"/>
          <w:numId w:val="14"/>
        </w:numPr>
        <w:spacing w:after="0" w:line="240" w:lineRule="auto"/>
        <w:ind w:hanging="720"/>
        <w:jc w:val="both"/>
        <w:outlineLvl w:val="1"/>
        <w:rPr>
          <w:rFonts w:ascii="Arial" w:eastAsia="Calibri" w:hAnsi="Arial" w:cs="Arial"/>
          <w:color w:val="000000"/>
          <w:sz w:val="24"/>
          <w:szCs w:val="24"/>
        </w:rPr>
      </w:pPr>
      <w:r w:rsidRPr="00D611E3">
        <w:rPr>
          <w:rFonts w:ascii="Arial" w:eastAsia="Calibri" w:hAnsi="Arial" w:cs="Arial"/>
          <w:color w:val="000000"/>
          <w:sz w:val="24"/>
          <w:szCs w:val="24"/>
        </w:rPr>
        <w:lastRenderedPageBreak/>
        <w:t xml:space="preserve">In order to </w:t>
      </w:r>
      <w:r w:rsidRPr="00D611E3">
        <w:rPr>
          <w:rFonts w:ascii="Arial" w:hAnsi="Arial" w:cs="Arial"/>
          <w:color w:val="000000"/>
          <w:sz w:val="24"/>
          <w:szCs w:val="24"/>
          <w:bdr w:val="none" w:sz="0" w:space="0" w:color="auto" w:frame="1"/>
        </w:rPr>
        <w:t>assist nurses with their lapsed registration</w:t>
      </w:r>
      <w:r w:rsidRPr="00D611E3">
        <w:rPr>
          <w:rFonts w:ascii="Arial" w:eastAsia="Calibri" w:hAnsi="Arial" w:cs="Arial"/>
          <w:color w:val="000000"/>
          <w:sz w:val="24"/>
          <w:szCs w:val="24"/>
        </w:rPr>
        <w:t>, the Department has successfully signed Resolution 3 of 2019 at the Public Health and Social Development Sectoral Bargaining Council (PHSDSBC) which is an agreement on payment of annual statutory registration fees in respect of health and social development professionals (including Nurses)</w:t>
      </w:r>
    </w:p>
    <w:p w:rsidR="00D611E3" w:rsidRPr="00D611E3" w:rsidRDefault="00D611E3" w:rsidP="00D611E3">
      <w:pPr>
        <w:keepNext/>
        <w:keepLines/>
        <w:spacing w:line="240" w:lineRule="auto"/>
        <w:ind w:left="1003" w:hanging="10"/>
        <w:jc w:val="both"/>
        <w:outlineLvl w:val="1"/>
        <w:rPr>
          <w:rFonts w:ascii="Arial" w:eastAsia="Calibri" w:hAnsi="Arial" w:cs="Arial"/>
          <w:color w:val="000000"/>
          <w:sz w:val="24"/>
          <w:szCs w:val="24"/>
        </w:rPr>
      </w:pPr>
    </w:p>
    <w:p w:rsidR="00D611E3" w:rsidRPr="00D611E3" w:rsidRDefault="00D611E3" w:rsidP="00D611E3">
      <w:pPr>
        <w:keepNext/>
        <w:keepLines/>
        <w:spacing w:line="240" w:lineRule="auto"/>
        <w:ind w:left="709"/>
        <w:jc w:val="both"/>
        <w:outlineLvl w:val="1"/>
        <w:rPr>
          <w:rFonts w:ascii="Arial" w:eastAsia="Calibri" w:hAnsi="Arial" w:cs="Arial"/>
          <w:color w:val="000000"/>
          <w:sz w:val="24"/>
          <w:szCs w:val="24"/>
        </w:rPr>
      </w:pPr>
      <w:r w:rsidRPr="00D611E3">
        <w:rPr>
          <w:rFonts w:ascii="Arial" w:eastAsia="Calibri" w:hAnsi="Arial" w:cs="Arial"/>
          <w:color w:val="000000"/>
          <w:sz w:val="24"/>
          <w:szCs w:val="24"/>
        </w:rPr>
        <w:t>The objective of the Resolution amongst others is to:</w:t>
      </w:r>
    </w:p>
    <w:p w:rsidR="00D611E3" w:rsidRPr="00D611E3" w:rsidRDefault="00D611E3" w:rsidP="00D611E3">
      <w:pPr>
        <w:spacing w:after="240" w:line="240" w:lineRule="auto"/>
        <w:ind w:left="1418" w:right="14" w:hanging="567"/>
        <w:jc w:val="both"/>
        <w:rPr>
          <w:rFonts w:ascii="Arial" w:hAnsi="Arial" w:cs="Arial"/>
          <w:sz w:val="24"/>
          <w:szCs w:val="24"/>
        </w:rPr>
      </w:pPr>
      <w:r w:rsidRPr="00D611E3">
        <w:rPr>
          <w:rFonts w:ascii="Arial" w:hAnsi="Arial" w:cs="Arial"/>
          <w:sz w:val="24"/>
          <w:szCs w:val="24"/>
        </w:rPr>
        <w:t xml:space="preserve">- </w:t>
      </w:r>
      <w:r>
        <w:rPr>
          <w:rFonts w:ascii="Arial" w:hAnsi="Arial" w:cs="Arial"/>
          <w:sz w:val="24"/>
          <w:szCs w:val="24"/>
        </w:rPr>
        <w:tab/>
      </w:r>
      <w:r w:rsidRPr="00D611E3">
        <w:rPr>
          <w:rFonts w:ascii="Arial" w:hAnsi="Arial" w:cs="Arial"/>
          <w:sz w:val="24"/>
          <w:szCs w:val="24"/>
        </w:rPr>
        <w:t>Introduce mandatory deductions of professional registration fees from salary of employees by PERSAL as required by the respective statutory professional bodies in the Health and Social Development Departments.</w:t>
      </w:r>
    </w:p>
    <w:p w:rsidR="00D611E3" w:rsidRPr="00D611E3" w:rsidRDefault="00D611E3" w:rsidP="00D611E3">
      <w:pPr>
        <w:spacing w:after="240" w:line="240" w:lineRule="auto"/>
        <w:ind w:left="1418" w:right="14" w:hanging="567"/>
        <w:jc w:val="both"/>
        <w:rPr>
          <w:rFonts w:ascii="Arial" w:eastAsia="Calibri" w:hAnsi="Arial" w:cs="Arial"/>
          <w:color w:val="000000"/>
          <w:sz w:val="24"/>
          <w:szCs w:val="24"/>
        </w:rPr>
      </w:pPr>
      <w:r w:rsidRPr="00D611E3">
        <w:rPr>
          <w:rFonts w:ascii="Arial" w:hAnsi="Arial" w:cs="Arial"/>
          <w:sz w:val="24"/>
          <w:szCs w:val="24"/>
        </w:rPr>
        <w:t xml:space="preserve">- </w:t>
      </w:r>
      <w:r>
        <w:rPr>
          <w:rFonts w:ascii="Arial" w:hAnsi="Arial" w:cs="Arial"/>
          <w:sz w:val="24"/>
          <w:szCs w:val="24"/>
        </w:rPr>
        <w:tab/>
      </w:r>
      <w:r w:rsidRPr="00D611E3">
        <w:rPr>
          <w:rFonts w:ascii="Arial" w:hAnsi="Arial" w:cs="Arial"/>
          <w:sz w:val="24"/>
          <w:szCs w:val="24"/>
        </w:rPr>
        <w:t>Assist in the monitoring of potential risks and compliance with registration requirement for appointment and practice as stipulated in the respective Statutory Professional bodies in the departments</w:t>
      </w:r>
    </w:p>
    <w:p w:rsidR="00D611E3" w:rsidRDefault="00D611E3" w:rsidP="00D611E3">
      <w:pPr>
        <w:spacing w:after="240" w:line="240" w:lineRule="auto"/>
        <w:jc w:val="both"/>
        <w:rPr>
          <w:rFonts w:ascii="Arial" w:hAnsi="Arial" w:cs="Arial"/>
          <w:color w:val="000000" w:themeColor="text1"/>
          <w:sz w:val="24"/>
          <w:szCs w:val="24"/>
          <w:lang w:val="en-US"/>
        </w:rPr>
      </w:pPr>
    </w:p>
    <w:p w:rsidR="00E134D1" w:rsidRPr="00B268F2" w:rsidRDefault="00E134D1" w:rsidP="00D611E3">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DD" w:rsidRDefault="008138DD" w:rsidP="00BF747C">
      <w:pPr>
        <w:spacing w:after="0" w:line="240" w:lineRule="auto"/>
      </w:pPr>
      <w:r>
        <w:separator/>
      </w:r>
    </w:p>
  </w:endnote>
  <w:endnote w:type="continuationSeparator" w:id="0">
    <w:p w:rsidR="008138DD" w:rsidRDefault="008138D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314B7C">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8138DD">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DD" w:rsidRDefault="008138DD" w:rsidP="00BF747C">
      <w:pPr>
        <w:spacing w:after="0" w:line="240" w:lineRule="auto"/>
      </w:pPr>
      <w:r>
        <w:separator/>
      </w:r>
    </w:p>
  </w:footnote>
  <w:footnote w:type="continuationSeparator" w:id="0">
    <w:p w:rsidR="008138DD" w:rsidRDefault="008138D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6B3B17"/>
    <w:multiLevelType w:val="hybridMultilevel"/>
    <w:tmpl w:val="F828B24C"/>
    <w:lvl w:ilvl="0" w:tplc="D812BB2C">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1BA16B7"/>
    <w:multiLevelType w:val="hybridMultilevel"/>
    <w:tmpl w:val="02142A62"/>
    <w:lvl w:ilvl="0" w:tplc="F3DE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3"/>
  </w:num>
  <w:num w:numId="5">
    <w:abstractNumId w:val="5"/>
  </w:num>
  <w:num w:numId="6">
    <w:abstractNumId w:val="12"/>
  </w:num>
  <w:num w:numId="7">
    <w:abstractNumId w:val="8"/>
  </w:num>
  <w:num w:numId="8">
    <w:abstractNumId w:val="3"/>
  </w:num>
  <w:num w:numId="9">
    <w:abstractNumId w:val="7"/>
  </w:num>
  <w:num w:numId="10">
    <w:abstractNumId w:val="0"/>
  </w:num>
  <w:num w:numId="11">
    <w:abstractNumId w:val="4"/>
  </w:num>
  <w:num w:numId="12">
    <w:abstractNumId w:val="10"/>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D7AA8"/>
    <w:rsid w:val="0011067E"/>
    <w:rsid w:val="001979F1"/>
    <w:rsid w:val="001C0A3B"/>
    <w:rsid w:val="001E58AE"/>
    <w:rsid w:val="001F5233"/>
    <w:rsid w:val="002032D2"/>
    <w:rsid w:val="0020357C"/>
    <w:rsid w:val="00245085"/>
    <w:rsid w:val="00275DB0"/>
    <w:rsid w:val="002C2A10"/>
    <w:rsid w:val="002C5752"/>
    <w:rsid w:val="002D383B"/>
    <w:rsid w:val="00306F90"/>
    <w:rsid w:val="00306FFC"/>
    <w:rsid w:val="00314B7C"/>
    <w:rsid w:val="003648B1"/>
    <w:rsid w:val="0037106C"/>
    <w:rsid w:val="003B1818"/>
    <w:rsid w:val="003B2854"/>
    <w:rsid w:val="00412151"/>
    <w:rsid w:val="0046053B"/>
    <w:rsid w:val="00464595"/>
    <w:rsid w:val="00464B29"/>
    <w:rsid w:val="0047527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0396"/>
    <w:rsid w:val="0069149E"/>
    <w:rsid w:val="00722E91"/>
    <w:rsid w:val="007645A8"/>
    <w:rsid w:val="00797BDA"/>
    <w:rsid w:val="007E1F8F"/>
    <w:rsid w:val="007F0AE0"/>
    <w:rsid w:val="008138DD"/>
    <w:rsid w:val="00865AA2"/>
    <w:rsid w:val="008B5385"/>
    <w:rsid w:val="008C527F"/>
    <w:rsid w:val="00942EDC"/>
    <w:rsid w:val="00960E2D"/>
    <w:rsid w:val="00994ED7"/>
    <w:rsid w:val="009D32AF"/>
    <w:rsid w:val="00A11769"/>
    <w:rsid w:val="00A14AFD"/>
    <w:rsid w:val="00A30F46"/>
    <w:rsid w:val="00A33B6B"/>
    <w:rsid w:val="00A654CA"/>
    <w:rsid w:val="00A952F9"/>
    <w:rsid w:val="00B268F2"/>
    <w:rsid w:val="00B416FF"/>
    <w:rsid w:val="00BB330B"/>
    <w:rsid w:val="00BB3958"/>
    <w:rsid w:val="00BB75F5"/>
    <w:rsid w:val="00BE1738"/>
    <w:rsid w:val="00BF747C"/>
    <w:rsid w:val="00C057AA"/>
    <w:rsid w:val="00C2436E"/>
    <w:rsid w:val="00C36128"/>
    <w:rsid w:val="00C94EDC"/>
    <w:rsid w:val="00CE2151"/>
    <w:rsid w:val="00D514C2"/>
    <w:rsid w:val="00D566C6"/>
    <w:rsid w:val="00D611E3"/>
    <w:rsid w:val="00D702F8"/>
    <w:rsid w:val="00DB5964"/>
    <w:rsid w:val="00E04188"/>
    <w:rsid w:val="00E134D1"/>
    <w:rsid w:val="00E165E7"/>
    <w:rsid w:val="00E207B7"/>
    <w:rsid w:val="00E30962"/>
    <w:rsid w:val="00E310B6"/>
    <w:rsid w:val="00E367E6"/>
    <w:rsid w:val="00E41F34"/>
    <w:rsid w:val="00E45F7A"/>
    <w:rsid w:val="00E5287A"/>
    <w:rsid w:val="00E55476"/>
    <w:rsid w:val="00E73763"/>
    <w:rsid w:val="00EA7633"/>
    <w:rsid w:val="00EB790D"/>
    <w:rsid w:val="00EC5EED"/>
    <w:rsid w:val="00F00309"/>
    <w:rsid w:val="00F3386F"/>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7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styleId="NormalWeb">
    <w:name w:val="Normal (Web)"/>
    <w:basedOn w:val="Normal"/>
    <w:uiPriority w:val="99"/>
    <w:unhideWhenUsed/>
    <w:rsid w:val="00D611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2023-04-12T09:14:00Z</dcterms:created>
  <dcterms:modified xsi:type="dcterms:W3CDTF">2023-04-12T09:14:00Z</dcterms:modified>
</cp:coreProperties>
</file>