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8A230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A2303" w:rsidP="008A230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A2303" w:rsidP="008A2303">
      <w:pPr>
        <w:spacing w:after="200" w:line="276" w:lineRule="auto"/>
        <w:rPr>
          <w:rFonts w:ascii="Arial" w:eastAsia="Calibri" w:hAnsi="Arial" w:cs="Arial"/>
          <w:b/>
          <w:bCs/>
          <w:lang w:val="en-GB"/>
        </w:rPr>
      </w:pPr>
      <w:proofErr w:type="gramStart"/>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NO.</w:t>
      </w:r>
      <w:proofErr w:type="gramEnd"/>
      <w:r>
        <w:rPr>
          <w:rFonts w:ascii="Arial" w:eastAsia="Calibri" w:hAnsi="Arial" w:cs="Arial"/>
          <w:b/>
          <w:bCs/>
          <w:lang w:val="en-GB"/>
        </w:rPr>
        <w:t xml:space="preserve"> </w:t>
      </w:r>
      <w:r w:rsidR="005A29A2">
        <w:rPr>
          <w:rFonts w:ascii="Arial" w:eastAsia="Calibri" w:hAnsi="Arial" w:cs="Arial"/>
          <w:b/>
          <w:bCs/>
          <w:lang w:val="en-GB"/>
        </w:rPr>
        <w:t>7</w:t>
      </w:r>
      <w:r w:rsidR="006D3500">
        <w:rPr>
          <w:rFonts w:ascii="Arial" w:eastAsia="Calibri" w:hAnsi="Arial" w:cs="Arial"/>
          <w:b/>
          <w:bCs/>
          <w:lang w:val="en-GB"/>
        </w:rPr>
        <w:t>60</w:t>
      </w:r>
    </w:p>
    <w:p w:rsidR="002E7253" w:rsidRPr="008A2303" w:rsidRDefault="002E7253" w:rsidP="008A2303">
      <w:pPr>
        <w:spacing w:after="200" w:line="276" w:lineRule="auto"/>
        <w:rPr>
          <w:rFonts w:ascii="Arial" w:eastAsia="Calibri" w:hAnsi="Arial" w:cs="Arial"/>
          <w:b/>
          <w:bCs/>
          <w:lang w:val="en-GB"/>
        </w:rPr>
      </w:pPr>
      <w:r w:rsidRPr="008A2303">
        <w:rPr>
          <w:rFonts w:ascii="Arial" w:eastAsia="Calibri" w:hAnsi="Arial" w:cs="Arial"/>
          <w:b/>
          <w:bCs/>
          <w:lang w:val="en-GB"/>
        </w:rPr>
        <w:t xml:space="preserve">DATE OF QUESTION: </w:t>
      </w:r>
      <w:r w:rsidR="004865D0" w:rsidRPr="008A2303">
        <w:rPr>
          <w:rFonts w:ascii="Arial" w:eastAsia="Calibri" w:hAnsi="Arial" w:cs="Arial"/>
          <w:b/>
          <w:bCs/>
          <w:lang w:val="en-GB"/>
        </w:rPr>
        <w:t>0</w:t>
      </w:r>
      <w:r w:rsidR="006D3500" w:rsidRPr="008A2303">
        <w:rPr>
          <w:rFonts w:ascii="Arial" w:eastAsia="Calibri" w:hAnsi="Arial" w:cs="Arial"/>
          <w:b/>
          <w:bCs/>
          <w:lang w:val="en-GB"/>
        </w:rPr>
        <w:t>6</w:t>
      </w:r>
      <w:r w:rsidR="008A2303" w:rsidRPr="008A2303">
        <w:rPr>
          <w:rFonts w:ascii="Arial" w:eastAsia="Calibri" w:hAnsi="Arial" w:cs="Arial"/>
          <w:b/>
          <w:bCs/>
          <w:lang w:val="en-GB"/>
        </w:rPr>
        <w:t xml:space="preserve"> SEPTEMBER </w:t>
      </w:r>
      <w:r w:rsidRPr="008A2303">
        <w:rPr>
          <w:rFonts w:ascii="Arial" w:eastAsia="Calibri" w:hAnsi="Arial" w:cs="Arial"/>
          <w:b/>
          <w:bCs/>
          <w:lang w:val="en-GB"/>
        </w:rPr>
        <w:t>201</w:t>
      </w:r>
      <w:r w:rsidR="00121378" w:rsidRPr="008A2303">
        <w:rPr>
          <w:rFonts w:ascii="Arial" w:eastAsia="Calibri" w:hAnsi="Arial" w:cs="Arial"/>
          <w:b/>
          <w:bCs/>
          <w:lang w:val="en-GB"/>
        </w:rPr>
        <w:t>9</w:t>
      </w:r>
    </w:p>
    <w:p w:rsidR="00D463C8" w:rsidRPr="008A2303" w:rsidRDefault="00791471" w:rsidP="008A2303">
      <w:pPr>
        <w:spacing w:before="100" w:beforeAutospacing="1" w:after="100" w:afterAutospacing="1" w:line="276" w:lineRule="auto"/>
        <w:outlineLvl w:val="0"/>
        <w:rPr>
          <w:rFonts w:ascii="Arial" w:eastAsia="Calibri" w:hAnsi="Arial" w:cs="Arial"/>
          <w:b/>
          <w:bCs/>
          <w:lang w:val="en-GB"/>
        </w:rPr>
      </w:pPr>
      <w:r w:rsidRPr="008A2303">
        <w:rPr>
          <w:rFonts w:ascii="Arial" w:eastAsia="Calibri" w:hAnsi="Arial" w:cs="Arial"/>
          <w:b/>
          <w:bCs/>
          <w:lang w:val="en-GB"/>
        </w:rPr>
        <w:t xml:space="preserve">DATE OF SUBMISSION: </w:t>
      </w:r>
      <w:r w:rsidR="006D3500" w:rsidRPr="008A2303">
        <w:rPr>
          <w:rFonts w:ascii="Arial" w:eastAsia="Calibri" w:hAnsi="Arial" w:cs="Arial"/>
          <w:b/>
          <w:bCs/>
          <w:lang w:val="en-GB"/>
        </w:rPr>
        <w:t>20</w:t>
      </w:r>
      <w:r w:rsidR="00FB2C7F" w:rsidRPr="008A2303">
        <w:rPr>
          <w:rFonts w:ascii="Arial" w:eastAsia="Calibri" w:hAnsi="Arial" w:cs="Arial"/>
          <w:b/>
          <w:bCs/>
          <w:lang w:val="en-GB"/>
        </w:rPr>
        <w:t xml:space="preserve"> SEPTEMBER</w:t>
      </w:r>
      <w:r w:rsidR="00A0329A" w:rsidRPr="008A2303">
        <w:rPr>
          <w:rFonts w:ascii="Arial" w:eastAsia="Calibri" w:hAnsi="Arial" w:cs="Arial"/>
          <w:b/>
          <w:bCs/>
          <w:lang w:val="en-GB"/>
        </w:rPr>
        <w:t xml:space="preserve"> </w:t>
      </w:r>
      <w:r w:rsidR="00D463C8" w:rsidRPr="008A2303">
        <w:rPr>
          <w:rFonts w:ascii="Arial" w:eastAsia="Calibri" w:hAnsi="Arial" w:cs="Arial"/>
          <w:b/>
          <w:bCs/>
          <w:lang w:val="en-GB"/>
        </w:rPr>
        <w:t>201</w:t>
      </w:r>
      <w:r w:rsidR="00121378" w:rsidRPr="008A2303">
        <w:rPr>
          <w:rFonts w:ascii="Arial" w:eastAsia="Calibri" w:hAnsi="Arial" w:cs="Arial"/>
          <w:b/>
          <w:bCs/>
          <w:lang w:val="en-GB"/>
        </w:rPr>
        <w:t>9</w:t>
      </w:r>
    </w:p>
    <w:p w:rsidR="006D3500" w:rsidRPr="006D3500" w:rsidRDefault="006D3500" w:rsidP="006D3500">
      <w:pPr>
        <w:spacing w:before="120" w:after="120" w:line="360" w:lineRule="auto"/>
        <w:jc w:val="both"/>
        <w:rPr>
          <w:rFonts w:ascii="Arial" w:hAnsi="Arial" w:cs="Arial"/>
          <w:b/>
          <w:bCs/>
          <w:lang w:val="en-ZA"/>
        </w:rPr>
      </w:pPr>
      <w:r w:rsidRPr="006D3500">
        <w:rPr>
          <w:rFonts w:ascii="Arial" w:hAnsi="Arial" w:cs="Arial"/>
          <w:b/>
          <w:bCs/>
          <w:lang w:val="en-ZA"/>
        </w:rPr>
        <w:t>Mr M Chetty (DA) to ask the Minister of Justice and Correctional Services</w:t>
      </w:r>
      <w:r w:rsidRPr="006D3500">
        <w:rPr>
          <w:rFonts w:ascii="Arial" w:hAnsi="Arial" w:cs="Arial"/>
          <w:b/>
          <w:bCs/>
          <w:lang w:val="en-ZA"/>
        </w:rPr>
        <w:fldChar w:fldCharType="begin"/>
      </w:r>
      <w:r w:rsidRPr="006D3500">
        <w:rPr>
          <w:rFonts w:ascii="Arial" w:hAnsi="Arial" w:cs="Arial"/>
          <w:b/>
          <w:bCs/>
          <w:lang w:val="en-ZA"/>
        </w:rPr>
        <w:instrText xml:space="preserve"> XE "Justice and Correctional Services" </w:instrText>
      </w:r>
      <w:r w:rsidRPr="006D3500">
        <w:rPr>
          <w:rFonts w:ascii="Arial" w:hAnsi="Arial" w:cs="Arial"/>
          <w:b/>
          <w:bCs/>
          <w:lang w:val="en-ZA"/>
        </w:rPr>
        <w:fldChar w:fldCharType="end"/>
      </w:r>
      <w:r w:rsidRPr="006D3500">
        <w:rPr>
          <w:rFonts w:ascii="Arial" w:hAnsi="Arial" w:cs="Arial"/>
          <w:b/>
          <w:bCs/>
          <w:lang w:val="en-ZA"/>
        </w:rPr>
        <w:t>:</w:t>
      </w:r>
    </w:p>
    <w:p w:rsidR="006D3500" w:rsidRDefault="006D3500" w:rsidP="006D3500">
      <w:pPr>
        <w:spacing w:before="100" w:beforeAutospacing="1" w:after="100" w:afterAutospacing="1" w:line="360" w:lineRule="auto"/>
        <w:jc w:val="both"/>
        <w:rPr>
          <w:rFonts w:ascii="Arial" w:eastAsia="Calibri" w:hAnsi="Arial" w:cs="Arial"/>
          <w:lang w:val="en-ZA"/>
        </w:rPr>
      </w:pPr>
      <w:r w:rsidRPr="006D3500">
        <w:rPr>
          <w:rFonts w:ascii="Arial" w:eastAsia="Calibri" w:hAnsi="Arial" w:cs="Arial"/>
          <w:lang w:val="en-ZA"/>
        </w:rPr>
        <w:t>What is the (a) total cost and (b) detailed breakdown of the cost incurred since the establishment of the Judicial Commission of Inquiry into Allegations of Impropriety regarding the Public Investment Corporation, chaired by Justice Lex Mpati?</w:t>
      </w:r>
    </w:p>
    <w:p w:rsidR="006D3500" w:rsidRPr="006D3500" w:rsidRDefault="006D3500" w:rsidP="006D3500">
      <w:pPr>
        <w:spacing w:before="120" w:after="120" w:line="360" w:lineRule="auto"/>
        <w:ind w:left="360"/>
        <w:jc w:val="right"/>
        <w:rPr>
          <w:rFonts w:ascii="Arial" w:hAnsi="Arial" w:cs="Arial"/>
          <w:b/>
          <w:lang w:val="en-ZA"/>
        </w:rPr>
      </w:pPr>
      <w:r w:rsidRPr="006D3500">
        <w:rPr>
          <w:rFonts w:ascii="Arial" w:hAnsi="Arial" w:cs="Arial"/>
          <w:b/>
          <w:lang w:val="en-ZA"/>
        </w:rPr>
        <w:t>NW1753E</w:t>
      </w:r>
    </w:p>
    <w:p w:rsidR="00E771E1" w:rsidRPr="00B53930" w:rsidRDefault="00E771E1" w:rsidP="00E20358">
      <w:pPr>
        <w:spacing w:before="120" w:after="120" w:line="360" w:lineRule="auto"/>
        <w:ind w:left="360"/>
        <w:jc w:val="both"/>
        <w:rPr>
          <w:rFonts w:ascii="Arial" w:hAnsi="Arial" w:cs="Arial"/>
          <w:b/>
          <w:lang w:val="en-ZA"/>
        </w:rPr>
      </w:pPr>
    </w:p>
    <w:p w:rsidR="00983C6B" w:rsidRDefault="00AC5FEE" w:rsidP="002F0095">
      <w:pPr>
        <w:spacing w:before="120" w:after="120" w:line="360" w:lineRule="auto"/>
        <w:jc w:val="both"/>
        <w:rPr>
          <w:rFonts w:ascii="Arial" w:hAnsi="Arial" w:cs="Arial"/>
          <w:b/>
        </w:rPr>
      </w:pPr>
      <w:r>
        <w:rPr>
          <w:rFonts w:ascii="Arial" w:hAnsi="Arial" w:cs="Arial"/>
          <w:b/>
        </w:rPr>
        <w:br w:type="page"/>
      </w:r>
      <w:r w:rsidR="0007655F" w:rsidRPr="008C0966">
        <w:rPr>
          <w:rFonts w:ascii="Arial" w:hAnsi="Arial" w:cs="Arial"/>
          <w:b/>
        </w:rPr>
        <w:lastRenderedPageBreak/>
        <w:t>REPLY:</w:t>
      </w:r>
    </w:p>
    <w:p w:rsidR="00C01755" w:rsidRDefault="00C01755" w:rsidP="002F0095">
      <w:pPr>
        <w:spacing w:before="120" w:after="120" w:line="360" w:lineRule="auto"/>
        <w:jc w:val="both"/>
        <w:rPr>
          <w:rFonts w:ascii="Arial" w:hAnsi="Arial" w:cs="Arial"/>
          <w:b/>
        </w:rPr>
      </w:pPr>
    </w:p>
    <w:p w:rsidR="008B1A99" w:rsidRPr="008B1A99" w:rsidRDefault="008B1A99" w:rsidP="008B1A99">
      <w:pPr>
        <w:numPr>
          <w:ilvl w:val="0"/>
          <w:numId w:val="34"/>
        </w:numPr>
        <w:spacing w:before="120" w:after="120" w:line="360" w:lineRule="auto"/>
        <w:rPr>
          <w:rFonts w:ascii="Arial" w:hAnsi="Arial" w:cs="Arial"/>
        </w:rPr>
      </w:pPr>
      <w:r>
        <w:rPr>
          <w:rFonts w:ascii="Arial" w:hAnsi="Arial" w:cs="Arial"/>
        </w:rPr>
        <w:t xml:space="preserve">The total cost incurred since the establishment of the Judicial Commission of Inquiry into allegations of Impropriety regarding Public Investment Corporation is </w:t>
      </w:r>
      <w:r w:rsidR="00C01755">
        <w:rPr>
          <w:rFonts w:ascii="Arial" w:hAnsi="Arial" w:cs="Arial"/>
        </w:rPr>
        <w:t xml:space="preserve">      </w:t>
      </w:r>
      <w:r w:rsidR="00C01755" w:rsidRPr="00C01755">
        <w:rPr>
          <w:rFonts w:ascii="Arial" w:hAnsi="Arial" w:cs="Arial"/>
        </w:rPr>
        <w:t>R</w:t>
      </w:r>
      <w:r w:rsidR="00FB5DD5" w:rsidRPr="00C01755">
        <w:rPr>
          <w:rFonts w:ascii="Arial" w:hAnsi="Arial" w:cs="Arial"/>
        </w:rPr>
        <w:t>24 694</w:t>
      </w:r>
      <w:r w:rsidR="00C01755">
        <w:rPr>
          <w:rFonts w:ascii="Arial" w:hAnsi="Arial" w:cs="Arial"/>
        </w:rPr>
        <w:t xml:space="preserve"> </w:t>
      </w:r>
      <w:r w:rsidR="00FB5DD5" w:rsidRPr="00C01755">
        <w:rPr>
          <w:rFonts w:ascii="Arial" w:hAnsi="Arial" w:cs="Arial"/>
        </w:rPr>
        <w:t>284.</w:t>
      </w:r>
      <w:r w:rsidR="00C01755">
        <w:rPr>
          <w:rFonts w:ascii="Arial" w:hAnsi="Arial" w:cs="Arial"/>
        </w:rPr>
        <w:t>00</w:t>
      </w:r>
    </w:p>
    <w:p w:rsidR="00C01755" w:rsidRPr="00C01755" w:rsidRDefault="008B1A99" w:rsidP="00C01755">
      <w:pPr>
        <w:numPr>
          <w:ilvl w:val="0"/>
          <w:numId w:val="34"/>
        </w:numPr>
        <w:spacing w:before="120" w:after="120" w:line="360" w:lineRule="auto"/>
        <w:rPr>
          <w:rFonts w:ascii="Arial" w:hAnsi="Arial" w:cs="Arial"/>
        </w:rPr>
      </w:pPr>
      <w:r>
        <w:rPr>
          <w:rFonts w:ascii="Arial" w:hAnsi="Arial" w:cs="Arial"/>
          <w:b/>
        </w:rPr>
        <w:t xml:space="preserve"> </w:t>
      </w:r>
      <w:r w:rsidR="00C01755">
        <w:rPr>
          <w:rFonts w:ascii="Arial" w:hAnsi="Arial" w:cs="Arial"/>
          <w:b/>
        </w:rPr>
        <w:t xml:space="preserve">The </w:t>
      </w:r>
      <w:r w:rsidR="00C01755" w:rsidRPr="006D3500">
        <w:rPr>
          <w:rFonts w:ascii="Arial" w:eastAsia="Calibri" w:hAnsi="Arial" w:cs="Arial"/>
          <w:lang w:val="en-ZA"/>
        </w:rPr>
        <w:t>detailed breakdown of the cost incurred</w:t>
      </w:r>
      <w:r w:rsidR="00C01755">
        <w:rPr>
          <w:rFonts w:ascii="Arial" w:eastAsia="Calibri" w:hAnsi="Arial" w:cs="Arial"/>
          <w:lang w:val="en-ZA"/>
        </w:rPr>
        <w:t xml:space="preserve"> is tabulated below:</w:t>
      </w:r>
    </w:p>
    <w:tbl>
      <w:tblPr>
        <w:tblW w:w="8820" w:type="dxa"/>
        <w:tblInd w:w="558" w:type="dxa"/>
        <w:tblLook w:val="04A0"/>
      </w:tblPr>
      <w:tblGrid>
        <w:gridCol w:w="2986"/>
        <w:gridCol w:w="2864"/>
        <w:gridCol w:w="2970"/>
      </w:tblGrid>
      <w:tr w:rsidR="00FB5DD5" w:rsidRPr="00FB5DD5" w:rsidTr="00C01755">
        <w:trPr>
          <w:trHeight w:val="1005"/>
        </w:trPr>
        <w:tc>
          <w:tcPr>
            <w:tcW w:w="2986" w:type="dxa"/>
            <w:tcBorders>
              <w:top w:val="single" w:sz="4" w:space="0" w:color="95B3D7"/>
              <w:left w:val="single" w:sz="4" w:space="0" w:color="95B3D7"/>
              <w:bottom w:val="single" w:sz="4" w:space="0" w:color="95B3D7"/>
              <w:right w:val="single" w:sz="4" w:space="0" w:color="95B3D7"/>
            </w:tcBorders>
            <w:shd w:val="clear" w:color="DCE6F1" w:fill="B8CCE4"/>
            <w:noWrap/>
            <w:vAlign w:val="center"/>
            <w:hideMark/>
          </w:tcPr>
          <w:p w:rsidR="00FB5DD5" w:rsidRPr="00C01755" w:rsidRDefault="00FB5DD5" w:rsidP="00C01755">
            <w:pPr>
              <w:spacing w:line="360" w:lineRule="auto"/>
              <w:rPr>
                <w:rFonts w:ascii="Arial" w:hAnsi="Arial" w:cs="Arial"/>
                <w:b/>
                <w:bCs/>
                <w:color w:val="000000"/>
                <w:lang w:val="en-ZA" w:eastAsia="en-ZA"/>
              </w:rPr>
            </w:pPr>
            <w:r w:rsidRPr="00C01755">
              <w:rPr>
                <w:rFonts w:ascii="Arial" w:hAnsi="Arial" w:cs="Arial"/>
                <w:b/>
                <w:bCs/>
                <w:color w:val="000000"/>
                <w:lang w:val="en-ZA" w:eastAsia="en-ZA"/>
              </w:rPr>
              <w:t>Main Cost Drivers</w:t>
            </w:r>
          </w:p>
        </w:tc>
        <w:tc>
          <w:tcPr>
            <w:tcW w:w="2864" w:type="dxa"/>
            <w:tcBorders>
              <w:top w:val="single" w:sz="4" w:space="0" w:color="95B3D7"/>
              <w:left w:val="nil"/>
              <w:bottom w:val="single" w:sz="4" w:space="0" w:color="95B3D7"/>
              <w:right w:val="single" w:sz="4" w:space="0" w:color="95B3D7"/>
            </w:tcBorders>
            <w:shd w:val="clear" w:color="DCE6F1" w:fill="B8CCE4"/>
            <w:vAlign w:val="center"/>
            <w:hideMark/>
          </w:tcPr>
          <w:p w:rsidR="00FB5DD5" w:rsidRPr="00C01755" w:rsidRDefault="00FB5DD5" w:rsidP="00C01755">
            <w:pPr>
              <w:spacing w:line="360" w:lineRule="auto"/>
              <w:jc w:val="center"/>
              <w:rPr>
                <w:rFonts w:ascii="Arial" w:hAnsi="Arial" w:cs="Arial"/>
                <w:b/>
                <w:bCs/>
                <w:color w:val="000000"/>
                <w:lang w:val="en-ZA" w:eastAsia="en-ZA"/>
              </w:rPr>
            </w:pPr>
            <w:r w:rsidRPr="00C01755">
              <w:rPr>
                <w:rFonts w:ascii="Arial" w:hAnsi="Arial" w:cs="Arial"/>
                <w:b/>
                <w:bCs/>
                <w:color w:val="000000"/>
                <w:lang w:val="en-ZA" w:eastAsia="en-ZA"/>
              </w:rPr>
              <w:t xml:space="preserve"> Expenditure </w:t>
            </w:r>
            <w:r w:rsidR="00C01755">
              <w:rPr>
                <w:rFonts w:ascii="Arial" w:hAnsi="Arial" w:cs="Arial"/>
                <w:b/>
                <w:bCs/>
                <w:color w:val="000000"/>
                <w:lang w:val="en-ZA" w:eastAsia="en-ZA"/>
              </w:rPr>
              <w:t xml:space="preserve">for the </w:t>
            </w:r>
            <w:r w:rsidRPr="00C01755">
              <w:rPr>
                <w:rFonts w:ascii="Arial" w:hAnsi="Arial" w:cs="Arial"/>
                <w:b/>
                <w:bCs/>
                <w:color w:val="000000"/>
                <w:lang w:val="en-ZA" w:eastAsia="en-ZA"/>
              </w:rPr>
              <w:t xml:space="preserve">2018/19 </w:t>
            </w:r>
            <w:r w:rsidR="00C01755">
              <w:rPr>
                <w:rFonts w:ascii="Arial" w:hAnsi="Arial" w:cs="Arial"/>
                <w:b/>
                <w:bCs/>
                <w:color w:val="000000"/>
                <w:lang w:val="en-ZA" w:eastAsia="en-ZA"/>
              </w:rPr>
              <w:t>financial year</w:t>
            </w:r>
          </w:p>
        </w:tc>
        <w:tc>
          <w:tcPr>
            <w:tcW w:w="2970" w:type="dxa"/>
            <w:tcBorders>
              <w:top w:val="single" w:sz="4" w:space="0" w:color="95B3D7"/>
              <w:left w:val="nil"/>
              <w:bottom w:val="single" w:sz="4" w:space="0" w:color="95B3D7"/>
              <w:right w:val="single" w:sz="4" w:space="0" w:color="95B3D7"/>
            </w:tcBorders>
            <w:shd w:val="clear" w:color="DCE6F1" w:fill="B8CCE4"/>
            <w:vAlign w:val="center"/>
            <w:hideMark/>
          </w:tcPr>
          <w:p w:rsidR="00FB5DD5" w:rsidRPr="00C01755" w:rsidRDefault="00FB5DD5" w:rsidP="00C01755">
            <w:pPr>
              <w:spacing w:line="360" w:lineRule="auto"/>
              <w:jc w:val="center"/>
              <w:rPr>
                <w:rFonts w:ascii="Arial" w:hAnsi="Arial" w:cs="Arial"/>
                <w:b/>
                <w:bCs/>
                <w:color w:val="000000"/>
                <w:lang w:val="en-ZA" w:eastAsia="en-ZA"/>
              </w:rPr>
            </w:pPr>
            <w:r w:rsidRPr="00C01755">
              <w:rPr>
                <w:rFonts w:ascii="Arial" w:hAnsi="Arial" w:cs="Arial"/>
                <w:b/>
                <w:bCs/>
                <w:color w:val="000000"/>
                <w:lang w:val="en-ZA" w:eastAsia="en-ZA"/>
              </w:rPr>
              <w:t xml:space="preserve"> Expenditure </w:t>
            </w:r>
            <w:r w:rsidR="00C01755">
              <w:rPr>
                <w:rFonts w:ascii="Arial" w:hAnsi="Arial" w:cs="Arial"/>
                <w:b/>
                <w:bCs/>
                <w:color w:val="000000"/>
                <w:lang w:val="en-ZA" w:eastAsia="en-ZA"/>
              </w:rPr>
              <w:t>for the 2019/20 financial year</w:t>
            </w:r>
          </w:p>
        </w:tc>
      </w:tr>
      <w:tr w:rsidR="00FB5DD5" w:rsidRPr="00FB5DD5" w:rsidTr="00C01755">
        <w:trPr>
          <w:trHeight w:val="315"/>
        </w:trPr>
        <w:tc>
          <w:tcPr>
            <w:tcW w:w="2986" w:type="dxa"/>
            <w:tcBorders>
              <w:top w:val="nil"/>
              <w:left w:val="single" w:sz="4" w:space="0" w:color="95B3D7"/>
              <w:bottom w:val="single" w:sz="4" w:space="0" w:color="95B3D7"/>
              <w:right w:val="single" w:sz="4" w:space="0" w:color="95B3D7"/>
            </w:tcBorders>
            <w:shd w:val="clear" w:color="auto" w:fill="auto"/>
            <w:noWrap/>
            <w:vAlign w:val="bottom"/>
            <w:hideMark/>
          </w:tcPr>
          <w:p w:rsidR="00FB5DD5" w:rsidRPr="00C01755" w:rsidRDefault="00FB5DD5" w:rsidP="00C01755">
            <w:pPr>
              <w:spacing w:line="360" w:lineRule="auto"/>
              <w:rPr>
                <w:rFonts w:ascii="Arial" w:hAnsi="Arial" w:cs="Arial"/>
                <w:color w:val="000000"/>
                <w:lang w:val="en-ZA" w:eastAsia="en-ZA"/>
              </w:rPr>
            </w:pPr>
            <w:r w:rsidRPr="00C01755">
              <w:rPr>
                <w:rFonts w:ascii="Arial" w:hAnsi="Arial" w:cs="Arial"/>
                <w:color w:val="000000"/>
                <w:lang w:val="en-ZA" w:eastAsia="en-ZA"/>
              </w:rPr>
              <w:t>Compensation of Employees</w:t>
            </w:r>
          </w:p>
        </w:tc>
        <w:tc>
          <w:tcPr>
            <w:tcW w:w="2864" w:type="dxa"/>
            <w:tcBorders>
              <w:top w:val="nil"/>
              <w:left w:val="nil"/>
              <w:bottom w:val="single" w:sz="4" w:space="0" w:color="95B3D7"/>
              <w:right w:val="single" w:sz="4" w:space="0" w:color="95B3D7"/>
            </w:tcBorders>
            <w:shd w:val="clear" w:color="000000" w:fill="FFFFFF"/>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5 176 581 </w:t>
            </w:r>
          </w:p>
        </w:tc>
        <w:tc>
          <w:tcPr>
            <w:tcW w:w="2970" w:type="dxa"/>
            <w:tcBorders>
              <w:top w:val="nil"/>
              <w:left w:val="nil"/>
              <w:bottom w:val="single" w:sz="4" w:space="0" w:color="95B3D7"/>
              <w:right w:val="single" w:sz="4" w:space="0" w:color="95B3D7"/>
            </w:tcBorders>
            <w:shd w:val="clear" w:color="000000" w:fill="FFFFFF"/>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9 494 875 </w:t>
            </w:r>
          </w:p>
        </w:tc>
      </w:tr>
      <w:tr w:rsidR="00FB5DD5" w:rsidRPr="00FB5DD5" w:rsidTr="00C01755">
        <w:trPr>
          <w:trHeight w:val="315"/>
        </w:trPr>
        <w:tc>
          <w:tcPr>
            <w:tcW w:w="2986" w:type="dxa"/>
            <w:tcBorders>
              <w:top w:val="nil"/>
              <w:left w:val="single" w:sz="4" w:space="0" w:color="95B3D7"/>
              <w:bottom w:val="single" w:sz="4" w:space="0" w:color="95B3D7"/>
              <w:right w:val="single" w:sz="4" w:space="0" w:color="95B3D7"/>
            </w:tcBorders>
            <w:shd w:val="clear" w:color="auto" w:fill="auto"/>
            <w:noWrap/>
            <w:vAlign w:val="bottom"/>
            <w:hideMark/>
          </w:tcPr>
          <w:p w:rsidR="00FB5DD5" w:rsidRPr="00C01755" w:rsidRDefault="00FB5DD5" w:rsidP="00C01755">
            <w:pPr>
              <w:spacing w:line="360" w:lineRule="auto"/>
              <w:rPr>
                <w:rFonts w:ascii="Arial" w:hAnsi="Arial" w:cs="Arial"/>
                <w:color w:val="000000"/>
                <w:lang w:val="en-ZA" w:eastAsia="en-ZA"/>
              </w:rPr>
            </w:pPr>
            <w:r w:rsidRPr="00C01755">
              <w:rPr>
                <w:rFonts w:ascii="Arial" w:hAnsi="Arial" w:cs="Arial"/>
                <w:color w:val="000000"/>
                <w:lang w:val="en-ZA" w:eastAsia="en-ZA"/>
              </w:rPr>
              <w:t>Goods and Services</w:t>
            </w:r>
          </w:p>
        </w:tc>
        <w:tc>
          <w:tcPr>
            <w:tcW w:w="2864" w:type="dxa"/>
            <w:tcBorders>
              <w:top w:val="nil"/>
              <w:left w:val="nil"/>
              <w:bottom w:val="single" w:sz="4" w:space="0" w:color="95B3D7"/>
              <w:right w:val="single" w:sz="4" w:space="0" w:color="95B3D7"/>
            </w:tcBorders>
            <w:shd w:val="clear" w:color="000000" w:fill="FFFFFF"/>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1 211 827 </w:t>
            </w:r>
          </w:p>
        </w:tc>
        <w:tc>
          <w:tcPr>
            <w:tcW w:w="2970" w:type="dxa"/>
            <w:tcBorders>
              <w:top w:val="nil"/>
              <w:left w:val="nil"/>
              <w:bottom w:val="single" w:sz="4" w:space="0" w:color="95B3D7"/>
              <w:right w:val="single" w:sz="4" w:space="0" w:color="95B3D7"/>
            </w:tcBorders>
            <w:shd w:val="clear" w:color="000000" w:fill="FFFFFF"/>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7 898 568 </w:t>
            </w:r>
          </w:p>
        </w:tc>
      </w:tr>
      <w:tr w:rsidR="00FB5DD5" w:rsidRPr="00FB5DD5" w:rsidTr="00C01755">
        <w:trPr>
          <w:trHeight w:val="315"/>
        </w:trPr>
        <w:tc>
          <w:tcPr>
            <w:tcW w:w="2986" w:type="dxa"/>
            <w:tcBorders>
              <w:top w:val="nil"/>
              <w:left w:val="single" w:sz="4" w:space="0" w:color="95B3D7"/>
              <w:bottom w:val="single" w:sz="4" w:space="0" w:color="95B3D7"/>
              <w:right w:val="single" w:sz="4" w:space="0" w:color="95B3D7"/>
            </w:tcBorders>
            <w:shd w:val="clear" w:color="auto" w:fill="auto"/>
            <w:noWrap/>
            <w:vAlign w:val="bottom"/>
            <w:hideMark/>
          </w:tcPr>
          <w:p w:rsidR="00FB5DD5" w:rsidRPr="00C01755" w:rsidRDefault="00FB5DD5" w:rsidP="00C01755">
            <w:pPr>
              <w:spacing w:line="360" w:lineRule="auto"/>
              <w:rPr>
                <w:rFonts w:ascii="Arial" w:hAnsi="Arial" w:cs="Arial"/>
                <w:color w:val="000000"/>
                <w:lang w:val="en-ZA" w:eastAsia="en-ZA"/>
              </w:rPr>
            </w:pPr>
            <w:r w:rsidRPr="00C01755">
              <w:rPr>
                <w:rFonts w:ascii="Arial" w:hAnsi="Arial" w:cs="Arial"/>
                <w:color w:val="000000"/>
                <w:lang w:val="en-ZA" w:eastAsia="en-ZA"/>
              </w:rPr>
              <w:t>Machinery and Equipment</w:t>
            </w:r>
          </w:p>
        </w:tc>
        <w:tc>
          <w:tcPr>
            <w:tcW w:w="2864" w:type="dxa"/>
            <w:tcBorders>
              <w:top w:val="nil"/>
              <w:left w:val="nil"/>
              <w:bottom w:val="single" w:sz="4" w:space="0" w:color="95B3D7"/>
              <w:right w:val="single" w:sz="4" w:space="0" w:color="95B3D7"/>
            </w:tcBorders>
            <w:shd w:val="clear" w:color="auto" w:fill="auto"/>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644 596 </w:t>
            </w:r>
          </w:p>
        </w:tc>
        <w:tc>
          <w:tcPr>
            <w:tcW w:w="2970" w:type="dxa"/>
            <w:tcBorders>
              <w:top w:val="nil"/>
              <w:left w:val="nil"/>
              <w:bottom w:val="single" w:sz="4" w:space="0" w:color="95B3D7"/>
              <w:right w:val="single" w:sz="4" w:space="0" w:color="95B3D7"/>
            </w:tcBorders>
            <w:shd w:val="clear" w:color="auto" w:fill="auto"/>
            <w:noWrap/>
            <w:vAlign w:val="bottom"/>
            <w:hideMark/>
          </w:tcPr>
          <w:p w:rsidR="00FB5DD5" w:rsidRPr="00C01755" w:rsidRDefault="00FB5DD5" w:rsidP="00C01755">
            <w:pPr>
              <w:spacing w:line="360" w:lineRule="auto"/>
              <w:ind w:firstLineChars="100" w:firstLine="240"/>
              <w:rPr>
                <w:rFonts w:ascii="Arial" w:hAnsi="Arial" w:cs="Arial"/>
                <w:color w:val="000000"/>
                <w:lang w:val="en-ZA" w:eastAsia="en-ZA"/>
              </w:rPr>
            </w:pPr>
            <w:r w:rsidRPr="00C01755">
              <w:rPr>
                <w:rFonts w:ascii="Arial" w:hAnsi="Arial" w:cs="Arial"/>
                <w:color w:val="000000"/>
                <w:lang w:val="en-ZA" w:eastAsia="en-ZA"/>
              </w:rPr>
              <w:t xml:space="preserve"> R         267 837 </w:t>
            </w:r>
          </w:p>
        </w:tc>
      </w:tr>
      <w:tr w:rsidR="00FB5DD5" w:rsidRPr="00FB5DD5" w:rsidTr="00C01755">
        <w:trPr>
          <w:trHeight w:val="315"/>
        </w:trPr>
        <w:tc>
          <w:tcPr>
            <w:tcW w:w="2986" w:type="dxa"/>
            <w:tcBorders>
              <w:top w:val="nil"/>
              <w:left w:val="single" w:sz="4" w:space="0" w:color="95B3D7"/>
              <w:bottom w:val="single" w:sz="4" w:space="0" w:color="95B3D7"/>
              <w:right w:val="single" w:sz="4" w:space="0" w:color="95B3D7"/>
            </w:tcBorders>
            <w:shd w:val="clear" w:color="DCE6F1" w:fill="B8CCE4"/>
            <w:noWrap/>
            <w:vAlign w:val="bottom"/>
            <w:hideMark/>
          </w:tcPr>
          <w:p w:rsidR="00FB5DD5" w:rsidRPr="00C01755" w:rsidRDefault="00FB5DD5" w:rsidP="00C01755">
            <w:pPr>
              <w:spacing w:line="360" w:lineRule="auto"/>
              <w:rPr>
                <w:rFonts w:ascii="Arial" w:hAnsi="Arial" w:cs="Arial"/>
                <w:b/>
                <w:bCs/>
                <w:color w:val="000000"/>
                <w:lang w:val="en-ZA" w:eastAsia="en-ZA"/>
              </w:rPr>
            </w:pPr>
            <w:r w:rsidRPr="00C01755">
              <w:rPr>
                <w:rFonts w:ascii="Arial" w:hAnsi="Arial" w:cs="Arial"/>
                <w:b/>
                <w:bCs/>
                <w:color w:val="000000"/>
                <w:lang w:val="en-ZA" w:eastAsia="en-ZA"/>
              </w:rPr>
              <w:t xml:space="preserve">Total PIC Commission </w:t>
            </w:r>
          </w:p>
        </w:tc>
        <w:tc>
          <w:tcPr>
            <w:tcW w:w="2864" w:type="dxa"/>
            <w:tcBorders>
              <w:top w:val="nil"/>
              <w:left w:val="nil"/>
              <w:bottom w:val="single" w:sz="4" w:space="0" w:color="95B3D7"/>
              <w:right w:val="single" w:sz="4" w:space="0" w:color="95B3D7"/>
            </w:tcBorders>
            <w:shd w:val="clear" w:color="DCE6F1" w:fill="B8CCE4"/>
            <w:noWrap/>
            <w:vAlign w:val="bottom"/>
            <w:hideMark/>
          </w:tcPr>
          <w:p w:rsidR="00FB5DD5" w:rsidRPr="00C01755" w:rsidRDefault="00FB5DD5" w:rsidP="00C01755">
            <w:pPr>
              <w:spacing w:line="360" w:lineRule="auto"/>
              <w:rPr>
                <w:rFonts w:ascii="Arial" w:hAnsi="Arial" w:cs="Arial"/>
                <w:b/>
                <w:bCs/>
                <w:color w:val="000000"/>
                <w:lang w:val="en-ZA" w:eastAsia="en-ZA"/>
              </w:rPr>
            </w:pPr>
            <w:r w:rsidRPr="00C01755">
              <w:rPr>
                <w:rFonts w:ascii="Arial" w:hAnsi="Arial" w:cs="Arial"/>
                <w:b/>
                <w:bCs/>
                <w:color w:val="000000"/>
                <w:lang w:val="en-ZA" w:eastAsia="en-ZA"/>
              </w:rPr>
              <w:t xml:space="preserve">     R   </w:t>
            </w:r>
            <w:r w:rsidR="00C01755">
              <w:rPr>
                <w:rFonts w:ascii="Arial" w:hAnsi="Arial" w:cs="Arial"/>
                <w:b/>
                <w:bCs/>
                <w:color w:val="000000"/>
                <w:lang w:val="en-ZA" w:eastAsia="en-ZA"/>
              </w:rPr>
              <w:t xml:space="preserve">   </w:t>
            </w:r>
            <w:r w:rsidRPr="00C01755">
              <w:rPr>
                <w:rFonts w:ascii="Arial" w:hAnsi="Arial" w:cs="Arial"/>
                <w:b/>
                <w:bCs/>
                <w:color w:val="000000"/>
                <w:lang w:val="en-ZA" w:eastAsia="en-ZA"/>
              </w:rPr>
              <w:t xml:space="preserve">7 033 004 </w:t>
            </w:r>
          </w:p>
        </w:tc>
        <w:tc>
          <w:tcPr>
            <w:tcW w:w="2970" w:type="dxa"/>
            <w:tcBorders>
              <w:top w:val="nil"/>
              <w:left w:val="nil"/>
              <w:bottom w:val="single" w:sz="4" w:space="0" w:color="95B3D7"/>
              <w:right w:val="single" w:sz="4" w:space="0" w:color="95B3D7"/>
            </w:tcBorders>
            <w:shd w:val="clear" w:color="DCE6F1" w:fill="B8CCE4"/>
            <w:noWrap/>
            <w:vAlign w:val="bottom"/>
            <w:hideMark/>
          </w:tcPr>
          <w:p w:rsidR="00FB5DD5" w:rsidRPr="00C01755" w:rsidRDefault="00FB5DD5" w:rsidP="00C01755">
            <w:pPr>
              <w:spacing w:line="360" w:lineRule="auto"/>
              <w:rPr>
                <w:rFonts w:ascii="Arial" w:hAnsi="Arial" w:cs="Arial"/>
                <w:b/>
                <w:bCs/>
                <w:color w:val="000000"/>
                <w:lang w:val="en-ZA" w:eastAsia="en-ZA"/>
              </w:rPr>
            </w:pPr>
            <w:r w:rsidRPr="00C01755">
              <w:rPr>
                <w:rFonts w:ascii="Arial" w:hAnsi="Arial" w:cs="Arial"/>
                <w:b/>
                <w:bCs/>
                <w:color w:val="000000"/>
                <w:lang w:val="en-ZA" w:eastAsia="en-ZA"/>
              </w:rPr>
              <w:t xml:space="preserve">     R </w:t>
            </w:r>
            <w:r w:rsidR="00C01755">
              <w:rPr>
                <w:rFonts w:ascii="Arial" w:hAnsi="Arial" w:cs="Arial"/>
                <w:b/>
                <w:bCs/>
                <w:color w:val="000000"/>
                <w:lang w:val="en-ZA" w:eastAsia="en-ZA"/>
              </w:rPr>
              <w:t xml:space="preserve">   </w:t>
            </w:r>
            <w:r w:rsidRPr="00C01755">
              <w:rPr>
                <w:rFonts w:ascii="Arial" w:hAnsi="Arial" w:cs="Arial"/>
                <w:b/>
                <w:bCs/>
                <w:color w:val="000000"/>
                <w:lang w:val="en-ZA" w:eastAsia="en-ZA"/>
              </w:rPr>
              <w:t xml:space="preserve">17 661 280 </w:t>
            </w:r>
          </w:p>
        </w:tc>
      </w:tr>
    </w:tbl>
    <w:p w:rsidR="008B1A99" w:rsidRPr="008B1A99" w:rsidRDefault="008B1A99" w:rsidP="00C01755">
      <w:pPr>
        <w:spacing w:before="120" w:after="120" w:line="360" w:lineRule="auto"/>
        <w:ind w:left="720"/>
        <w:rPr>
          <w:rFonts w:ascii="Arial" w:hAnsi="Arial" w:cs="Arial"/>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84" w:rsidRDefault="00EA5E84" w:rsidP="00913892">
      <w:r>
        <w:separator/>
      </w:r>
    </w:p>
  </w:endnote>
  <w:endnote w:type="continuationSeparator" w:id="0">
    <w:p w:rsidR="00EA5E84" w:rsidRDefault="00EA5E8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96A1E" w:rsidRPr="00296A1E">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84" w:rsidRDefault="00EA5E84" w:rsidP="00913892">
      <w:r>
        <w:separator/>
      </w:r>
    </w:p>
  </w:footnote>
  <w:footnote w:type="continuationSeparator" w:id="0">
    <w:p w:rsidR="00EA5E84" w:rsidRDefault="00EA5E8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6B6468C"/>
    <w:multiLevelType w:val="hybridMultilevel"/>
    <w:tmpl w:val="59546782"/>
    <w:lvl w:ilvl="0" w:tplc="53183E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7"/>
  </w:num>
  <w:num w:numId="6">
    <w:abstractNumId w:val="2"/>
  </w:num>
  <w:num w:numId="7">
    <w:abstractNumId w:val="33"/>
  </w:num>
  <w:num w:numId="8">
    <w:abstractNumId w:val="9"/>
  </w:num>
  <w:num w:numId="9">
    <w:abstractNumId w:val="15"/>
  </w:num>
  <w:num w:numId="10">
    <w:abstractNumId w:val="28"/>
  </w:num>
  <w:num w:numId="11">
    <w:abstractNumId w:val="1"/>
  </w:num>
  <w:num w:numId="12">
    <w:abstractNumId w:val="20"/>
  </w:num>
  <w:num w:numId="13">
    <w:abstractNumId w:val="13"/>
  </w:num>
  <w:num w:numId="14">
    <w:abstractNumId w:val="16"/>
  </w:num>
  <w:num w:numId="15">
    <w:abstractNumId w:val="8"/>
  </w:num>
  <w:num w:numId="16">
    <w:abstractNumId w:val="14"/>
  </w:num>
  <w:num w:numId="17">
    <w:abstractNumId w:val="30"/>
  </w:num>
  <w:num w:numId="18">
    <w:abstractNumId w:val="21"/>
  </w:num>
  <w:num w:numId="19">
    <w:abstractNumId w:val="18"/>
  </w:num>
  <w:num w:numId="20">
    <w:abstractNumId w:val="29"/>
  </w:num>
  <w:num w:numId="21">
    <w:abstractNumId w:val="24"/>
  </w:num>
  <w:num w:numId="22">
    <w:abstractNumId w:val="25"/>
  </w:num>
  <w:num w:numId="23">
    <w:abstractNumId w:val="7"/>
  </w:num>
  <w:num w:numId="24">
    <w:abstractNumId w:val="26"/>
  </w:num>
  <w:num w:numId="25">
    <w:abstractNumId w:val="4"/>
  </w:num>
  <w:num w:numId="26">
    <w:abstractNumId w:val="6"/>
  </w:num>
  <w:num w:numId="27">
    <w:abstractNumId w:val="32"/>
  </w:num>
  <w:num w:numId="28">
    <w:abstractNumId w:val="10"/>
  </w:num>
  <w:num w:numId="29">
    <w:abstractNumId w:val="19"/>
  </w:num>
  <w:num w:numId="30">
    <w:abstractNumId w:val="31"/>
  </w:num>
  <w:num w:numId="31">
    <w:abstractNumId w:val="17"/>
  </w:num>
  <w:num w:numId="32">
    <w:abstractNumId w:val="5"/>
  </w:num>
  <w:num w:numId="33">
    <w:abstractNumId w:val="23"/>
  </w:num>
  <w:num w:numId="3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04CF"/>
    <w:rsid w:val="00026EC0"/>
    <w:rsid w:val="00030927"/>
    <w:rsid w:val="0004105D"/>
    <w:rsid w:val="0004190C"/>
    <w:rsid w:val="00046588"/>
    <w:rsid w:val="00052CE2"/>
    <w:rsid w:val="00070401"/>
    <w:rsid w:val="00072E1B"/>
    <w:rsid w:val="0007655F"/>
    <w:rsid w:val="00084622"/>
    <w:rsid w:val="000A3DA5"/>
    <w:rsid w:val="000C01D4"/>
    <w:rsid w:val="000D4F57"/>
    <w:rsid w:val="000D68A7"/>
    <w:rsid w:val="000E7085"/>
    <w:rsid w:val="000E76BA"/>
    <w:rsid w:val="00105174"/>
    <w:rsid w:val="00110B8F"/>
    <w:rsid w:val="00120775"/>
    <w:rsid w:val="00121378"/>
    <w:rsid w:val="0012571A"/>
    <w:rsid w:val="00134C16"/>
    <w:rsid w:val="001354F5"/>
    <w:rsid w:val="00144111"/>
    <w:rsid w:val="00156483"/>
    <w:rsid w:val="00160B9D"/>
    <w:rsid w:val="001702F2"/>
    <w:rsid w:val="001774BC"/>
    <w:rsid w:val="001848C4"/>
    <w:rsid w:val="00192D26"/>
    <w:rsid w:val="00194B05"/>
    <w:rsid w:val="001A6D2A"/>
    <w:rsid w:val="001B00F0"/>
    <w:rsid w:val="001E1BE7"/>
    <w:rsid w:val="001F445E"/>
    <w:rsid w:val="002015FD"/>
    <w:rsid w:val="00203F6A"/>
    <w:rsid w:val="00213182"/>
    <w:rsid w:val="0021549B"/>
    <w:rsid w:val="00262407"/>
    <w:rsid w:val="002857B6"/>
    <w:rsid w:val="00286311"/>
    <w:rsid w:val="00294A6E"/>
    <w:rsid w:val="00296A1E"/>
    <w:rsid w:val="002A0DB1"/>
    <w:rsid w:val="002B2B31"/>
    <w:rsid w:val="002B6D18"/>
    <w:rsid w:val="002C719B"/>
    <w:rsid w:val="002D5BF7"/>
    <w:rsid w:val="002D7BBD"/>
    <w:rsid w:val="002E7253"/>
    <w:rsid w:val="002F0095"/>
    <w:rsid w:val="002F74EA"/>
    <w:rsid w:val="0031652F"/>
    <w:rsid w:val="00322BA4"/>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F6FEC"/>
    <w:rsid w:val="00515B6A"/>
    <w:rsid w:val="005160F8"/>
    <w:rsid w:val="005212C3"/>
    <w:rsid w:val="0054211D"/>
    <w:rsid w:val="0056528E"/>
    <w:rsid w:val="00567640"/>
    <w:rsid w:val="00572F09"/>
    <w:rsid w:val="005752E2"/>
    <w:rsid w:val="00580C49"/>
    <w:rsid w:val="005835BC"/>
    <w:rsid w:val="005856A7"/>
    <w:rsid w:val="00585897"/>
    <w:rsid w:val="005A29A2"/>
    <w:rsid w:val="005E365A"/>
    <w:rsid w:val="00612214"/>
    <w:rsid w:val="00625CD7"/>
    <w:rsid w:val="00630932"/>
    <w:rsid w:val="00635C5D"/>
    <w:rsid w:val="00653FE5"/>
    <w:rsid w:val="00670788"/>
    <w:rsid w:val="0067545A"/>
    <w:rsid w:val="006959E4"/>
    <w:rsid w:val="006B0F80"/>
    <w:rsid w:val="006C0567"/>
    <w:rsid w:val="006D21F9"/>
    <w:rsid w:val="006D3500"/>
    <w:rsid w:val="006D7E71"/>
    <w:rsid w:val="006F2454"/>
    <w:rsid w:val="006F63D7"/>
    <w:rsid w:val="00720D4C"/>
    <w:rsid w:val="00724689"/>
    <w:rsid w:val="007261FA"/>
    <w:rsid w:val="00740A5A"/>
    <w:rsid w:val="00745638"/>
    <w:rsid w:val="007540CF"/>
    <w:rsid w:val="00755C22"/>
    <w:rsid w:val="00757E02"/>
    <w:rsid w:val="00760BFE"/>
    <w:rsid w:val="00762240"/>
    <w:rsid w:val="00777A77"/>
    <w:rsid w:val="0078425B"/>
    <w:rsid w:val="007910E1"/>
    <w:rsid w:val="00791471"/>
    <w:rsid w:val="007961D4"/>
    <w:rsid w:val="007C0AC3"/>
    <w:rsid w:val="007C25D9"/>
    <w:rsid w:val="007D0D9C"/>
    <w:rsid w:val="007E7201"/>
    <w:rsid w:val="007F2B0B"/>
    <w:rsid w:val="007F48EA"/>
    <w:rsid w:val="00846897"/>
    <w:rsid w:val="00865132"/>
    <w:rsid w:val="008769EF"/>
    <w:rsid w:val="00881381"/>
    <w:rsid w:val="00892846"/>
    <w:rsid w:val="008A1398"/>
    <w:rsid w:val="008A1837"/>
    <w:rsid w:val="008A2303"/>
    <w:rsid w:val="008B1A99"/>
    <w:rsid w:val="008B345F"/>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329A"/>
    <w:rsid w:val="00A20C74"/>
    <w:rsid w:val="00A42301"/>
    <w:rsid w:val="00A4711C"/>
    <w:rsid w:val="00A64328"/>
    <w:rsid w:val="00A6432A"/>
    <w:rsid w:val="00A66729"/>
    <w:rsid w:val="00A7136B"/>
    <w:rsid w:val="00AA2AB0"/>
    <w:rsid w:val="00AA39AC"/>
    <w:rsid w:val="00AB3AF9"/>
    <w:rsid w:val="00AC5FEE"/>
    <w:rsid w:val="00AD7B7A"/>
    <w:rsid w:val="00AF5D91"/>
    <w:rsid w:val="00B13369"/>
    <w:rsid w:val="00B170EA"/>
    <w:rsid w:val="00B209AA"/>
    <w:rsid w:val="00B26AB3"/>
    <w:rsid w:val="00B40A2F"/>
    <w:rsid w:val="00B46E62"/>
    <w:rsid w:val="00B5021D"/>
    <w:rsid w:val="00B53930"/>
    <w:rsid w:val="00B553A6"/>
    <w:rsid w:val="00B742C8"/>
    <w:rsid w:val="00B8345D"/>
    <w:rsid w:val="00B958BA"/>
    <w:rsid w:val="00BA3361"/>
    <w:rsid w:val="00BA3A67"/>
    <w:rsid w:val="00BA61AF"/>
    <w:rsid w:val="00BB53A8"/>
    <w:rsid w:val="00BC7AFB"/>
    <w:rsid w:val="00BD6D36"/>
    <w:rsid w:val="00BE6E88"/>
    <w:rsid w:val="00BF0672"/>
    <w:rsid w:val="00BF0809"/>
    <w:rsid w:val="00BF738D"/>
    <w:rsid w:val="00C01755"/>
    <w:rsid w:val="00C10297"/>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732B"/>
    <w:rsid w:val="00DF2638"/>
    <w:rsid w:val="00E1080E"/>
    <w:rsid w:val="00E17F42"/>
    <w:rsid w:val="00E20358"/>
    <w:rsid w:val="00E44AFC"/>
    <w:rsid w:val="00E55AFD"/>
    <w:rsid w:val="00E771E1"/>
    <w:rsid w:val="00EA4D5C"/>
    <w:rsid w:val="00EA53D2"/>
    <w:rsid w:val="00EA5E84"/>
    <w:rsid w:val="00EA7A64"/>
    <w:rsid w:val="00EB54FA"/>
    <w:rsid w:val="00EC5379"/>
    <w:rsid w:val="00EC7CB5"/>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B2C7F"/>
    <w:rsid w:val="00FB5DD5"/>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87735247">
      <w:bodyDiv w:val="1"/>
      <w:marLeft w:val="0"/>
      <w:marRight w:val="0"/>
      <w:marTop w:val="0"/>
      <w:marBottom w:val="0"/>
      <w:divBdr>
        <w:top w:val="none" w:sz="0" w:space="0" w:color="auto"/>
        <w:left w:val="none" w:sz="0" w:space="0" w:color="auto"/>
        <w:bottom w:val="none" w:sz="0" w:space="0" w:color="auto"/>
        <w:right w:val="none" w:sz="0" w:space="0" w:color="auto"/>
      </w:divBdr>
    </w:div>
    <w:div w:id="1647706253">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2019-10-25T13:18:00Z</dcterms:created>
  <dcterms:modified xsi:type="dcterms:W3CDTF">2019-10-25T13:18:00Z</dcterms:modified>
</cp:coreProperties>
</file>