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955A2E">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F368D8">
      <w:pPr>
        <w:pStyle w:val="NoSpacing"/>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984C68" w:rsidRPr="00A11497">
        <w:rPr>
          <w:rFonts w:ascii="Arial" w:hAnsi="Arial" w:cs="Arial"/>
          <w:b/>
          <w:sz w:val="24"/>
          <w:szCs w:val="24"/>
        </w:rPr>
        <w:t xml:space="preserve"> </w:t>
      </w:r>
      <w:r w:rsidR="00431121">
        <w:rPr>
          <w:rFonts w:ascii="Arial" w:eastAsia="Calibri" w:hAnsi="Arial" w:cs="Arial"/>
          <w:b/>
          <w:sz w:val="24"/>
          <w:szCs w:val="24"/>
          <w:lang w:val="af-ZA"/>
        </w:rPr>
        <w:t>759</w:t>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431121" w:rsidRPr="00431121" w:rsidRDefault="00431121" w:rsidP="00431121">
      <w:pPr>
        <w:spacing w:before="100" w:beforeAutospacing="1" w:after="100" w:afterAutospacing="1" w:line="276" w:lineRule="auto"/>
        <w:jc w:val="both"/>
        <w:outlineLvl w:val="0"/>
        <w:rPr>
          <w:rFonts w:ascii="Arial" w:eastAsia="Calibri" w:hAnsi="Arial" w:cs="Arial"/>
          <w:b/>
          <w:lang w:val="af-ZA"/>
        </w:rPr>
      </w:pPr>
      <w:r w:rsidRPr="00431121">
        <w:rPr>
          <w:rFonts w:ascii="Arial" w:eastAsia="Calibri" w:hAnsi="Arial" w:cs="Arial"/>
          <w:b/>
          <w:lang w:val="af-ZA"/>
        </w:rPr>
        <w:t>Ms A T Lovemore (DA) to ask the Minister of Public Service and Administration:</w:t>
      </w:r>
    </w:p>
    <w:p w:rsidR="00431121" w:rsidRPr="00431121" w:rsidRDefault="00431121" w:rsidP="00431121">
      <w:pPr>
        <w:spacing w:before="100" w:beforeAutospacing="1" w:after="100" w:afterAutospacing="1" w:line="276" w:lineRule="auto"/>
        <w:ind w:left="720" w:hanging="720"/>
        <w:jc w:val="both"/>
        <w:outlineLvl w:val="0"/>
        <w:rPr>
          <w:rFonts w:ascii="Arial" w:eastAsia="Calibri" w:hAnsi="Arial" w:cs="Arial"/>
          <w:lang w:val="af-ZA"/>
        </w:rPr>
      </w:pPr>
      <w:r w:rsidRPr="00431121">
        <w:rPr>
          <w:rFonts w:ascii="Arial" w:eastAsia="Calibri" w:hAnsi="Arial" w:cs="Arial"/>
          <w:lang w:val="af-ZA"/>
        </w:rPr>
        <w:t>(1)</w:t>
      </w:r>
      <w:r w:rsidRPr="00431121">
        <w:rPr>
          <w:rFonts w:ascii="Arial" w:eastAsia="Calibri" w:hAnsi="Arial" w:cs="Arial"/>
          <w:lang w:val="af-ZA"/>
        </w:rPr>
        <w:tab/>
        <w:t>Whether the Public Service use a framework of minimum qualifications for the recruitment of staff to each position in the senior management service in national departments; if not, (a) why not, (b) who has the discretion to decide on acceptable qualifications for a potential incumbent and (c) when will such a framework be available for utilisation; if so, what are the relevant details;</w:t>
      </w:r>
    </w:p>
    <w:p w:rsidR="00431121" w:rsidRPr="00431121" w:rsidRDefault="00431121" w:rsidP="00431121">
      <w:pPr>
        <w:spacing w:before="100" w:beforeAutospacing="1" w:after="100" w:afterAutospacing="1" w:line="276" w:lineRule="auto"/>
        <w:ind w:left="720" w:hanging="720"/>
        <w:jc w:val="both"/>
        <w:outlineLvl w:val="0"/>
        <w:rPr>
          <w:rFonts w:ascii="Arial" w:eastAsia="Calibri" w:hAnsi="Arial" w:cs="Arial"/>
          <w:lang w:val="af-ZA"/>
        </w:rPr>
      </w:pPr>
      <w:r w:rsidRPr="00431121">
        <w:rPr>
          <w:rFonts w:ascii="Arial" w:eastAsia="Calibri" w:hAnsi="Arial" w:cs="Arial"/>
          <w:lang w:val="af-ZA"/>
        </w:rPr>
        <w:t>(2)</w:t>
      </w:r>
      <w:r w:rsidRPr="00431121">
        <w:rPr>
          <w:rFonts w:ascii="Arial" w:eastAsia="Calibri" w:hAnsi="Arial" w:cs="Arial"/>
          <w:lang w:val="af-ZA"/>
        </w:rPr>
        <w:tab/>
        <w:t>whether all incumbent members of the senior management service in national departments will be required to achieve a minimum level of qualification; if not, why not; if so, what are the relevant details;</w:t>
      </w:r>
    </w:p>
    <w:p w:rsidR="00431121" w:rsidRPr="00431121" w:rsidRDefault="00431121" w:rsidP="00431121">
      <w:pPr>
        <w:spacing w:before="100" w:beforeAutospacing="1" w:after="100" w:afterAutospacing="1" w:line="276" w:lineRule="auto"/>
        <w:ind w:left="720" w:hanging="720"/>
        <w:jc w:val="both"/>
        <w:outlineLvl w:val="0"/>
        <w:rPr>
          <w:rFonts w:ascii="Arial" w:eastAsia="Calibri" w:hAnsi="Arial" w:cs="Arial"/>
          <w:lang w:val="af-ZA"/>
        </w:rPr>
      </w:pPr>
      <w:r w:rsidRPr="00431121">
        <w:rPr>
          <w:rFonts w:ascii="Arial" w:eastAsia="Calibri" w:hAnsi="Arial" w:cs="Arial"/>
          <w:lang w:val="af-ZA"/>
        </w:rPr>
        <w:t>(3)</w:t>
      </w:r>
      <w:r w:rsidRPr="00431121">
        <w:rPr>
          <w:rFonts w:ascii="Arial" w:eastAsia="Calibri" w:hAnsi="Arial" w:cs="Arial"/>
          <w:lang w:val="af-ZA"/>
        </w:rPr>
        <w:tab/>
        <w:t>whether the salaries of directors-general across all national departments are the same or similar; if not, (a) what differences exist in this regard and (b) on what basis are calculations of the specified salaries made; if so, (i) why are all directors-general paid at the same level, regardless of the size of their departments and (ii) what are the salaries of directors-general;</w:t>
      </w:r>
    </w:p>
    <w:p w:rsidR="00431121" w:rsidRPr="00431121" w:rsidRDefault="00431121" w:rsidP="00431121">
      <w:pPr>
        <w:spacing w:before="100" w:beforeAutospacing="1" w:after="100" w:afterAutospacing="1" w:line="276" w:lineRule="auto"/>
        <w:ind w:left="720" w:hanging="720"/>
        <w:jc w:val="both"/>
        <w:outlineLvl w:val="0"/>
        <w:rPr>
          <w:rFonts w:ascii="Arial" w:eastAsia="Calibri" w:hAnsi="Arial" w:cs="Arial"/>
          <w:color w:val="000000"/>
          <w:lang w:val="af-ZA"/>
        </w:rPr>
      </w:pPr>
      <w:r w:rsidRPr="00431121">
        <w:rPr>
          <w:rFonts w:ascii="Arial" w:eastAsia="Calibri" w:hAnsi="Arial" w:cs="Arial"/>
          <w:lang w:val="af-ZA"/>
        </w:rPr>
        <w:t>(4)</w:t>
      </w:r>
      <w:r w:rsidRPr="00431121">
        <w:rPr>
          <w:rFonts w:ascii="Arial" w:eastAsia="Calibri" w:hAnsi="Arial" w:cs="Arial"/>
          <w:lang w:val="af-ZA"/>
        </w:rPr>
        <w:tab/>
        <w:t>whether incentives are paid to employees possessing identified critical or scarce skills; if not, why not; if so, what are the relevant details</w:t>
      </w:r>
      <w:r w:rsidRPr="00431121">
        <w:rPr>
          <w:rFonts w:ascii="Arial" w:eastAsia="Calibri" w:hAnsi="Arial" w:cs="Arial"/>
          <w:color w:val="000000"/>
          <w:lang w:val="af-ZA"/>
        </w:rPr>
        <w:t>?</w:t>
      </w:r>
      <w:r w:rsidRPr="00431121">
        <w:rPr>
          <w:rFonts w:ascii="Arial" w:eastAsia="Calibri" w:hAnsi="Arial" w:cs="Arial"/>
          <w:color w:val="000000"/>
          <w:lang w:val="af-ZA"/>
        </w:rPr>
        <w:tab/>
      </w:r>
      <w:r>
        <w:rPr>
          <w:rFonts w:ascii="Arial" w:eastAsia="Calibri" w:hAnsi="Arial" w:cs="Arial"/>
          <w:color w:val="000000"/>
          <w:lang w:val="af-ZA"/>
        </w:rPr>
        <w:tab/>
      </w:r>
      <w:r>
        <w:rPr>
          <w:rFonts w:ascii="Arial" w:eastAsia="Calibri" w:hAnsi="Arial" w:cs="Arial"/>
          <w:color w:val="000000"/>
          <w:lang w:val="af-ZA"/>
        </w:rPr>
        <w:tab/>
      </w:r>
      <w:r w:rsidRPr="00431121">
        <w:rPr>
          <w:rFonts w:ascii="Arial" w:eastAsia="Calibri" w:hAnsi="Arial" w:cs="Arial"/>
          <w:color w:val="000000"/>
          <w:lang w:val="af-ZA"/>
        </w:rPr>
        <w:t>NW877E</w:t>
      </w:r>
    </w:p>
    <w:p w:rsidR="00431121" w:rsidRDefault="00431121" w:rsidP="0084716C">
      <w:pPr>
        <w:spacing w:before="100" w:beforeAutospacing="1" w:after="100" w:afterAutospacing="1" w:line="276" w:lineRule="auto"/>
        <w:jc w:val="both"/>
        <w:outlineLvl w:val="0"/>
        <w:rPr>
          <w:rFonts w:ascii="Arial" w:eastAsia="Calibri" w:hAnsi="Arial" w:cs="Arial"/>
          <w:b/>
          <w:lang w:val="af-ZA"/>
        </w:rPr>
      </w:pPr>
    </w:p>
    <w:p w:rsidR="008C1D33"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040AD8" w:rsidRPr="00040AD8" w:rsidRDefault="00CD33AE" w:rsidP="00040AD8">
      <w:pPr>
        <w:numPr>
          <w:ilvl w:val="0"/>
          <w:numId w:val="7"/>
        </w:numPr>
        <w:tabs>
          <w:tab w:val="clear" w:pos="648"/>
          <w:tab w:val="left" w:pos="720"/>
        </w:tabs>
        <w:spacing w:before="288" w:line="307" w:lineRule="exact"/>
        <w:ind w:right="72" w:hanging="648"/>
        <w:jc w:val="both"/>
        <w:textAlignment w:val="baseline"/>
        <w:rPr>
          <w:rFonts w:ascii="Arial" w:eastAsia="Arial" w:hAnsi="Arial"/>
          <w:color w:val="000000"/>
          <w:spacing w:val="5"/>
        </w:rPr>
      </w:pPr>
      <w:r>
        <w:rPr>
          <w:rFonts w:ascii="Arial" w:eastAsia="Arial" w:hAnsi="Arial"/>
          <w:color w:val="000000"/>
          <w:spacing w:val="5"/>
          <w:sz w:val="22"/>
        </w:rPr>
        <w:t xml:space="preserve">The Public Service has a framework of minimum qualifications in place for the recruitment of staff to each position in the Senior Management Service. </w:t>
      </w:r>
      <w:r>
        <w:rPr>
          <w:rFonts w:ascii="Arial" w:eastAsia="Arial" w:hAnsi="Arial"/>
          <w:b/>
          <w:i/>
          <w:color w:val="000000"/>
          <w:spacing w:val="5"/>
          <w:sz w:val="22"/>
        </w:rPr>
        <w:t xml:space="preserve">The Directive </w:t>
      </w:r>
      <w:r>
        <w:rPr>
          <w:rFonts w:ascii="Arial" w:eastAsia="Arial" w:hAnsi="Arial"/>
          <w:b/>
          <w:i/>
          <w:color w:val="000000"/>
          <w:spacing w:val="5"/>
          <w:sz w:val="22"/>
        </w:rPr>
        <w:lastRenderedPageBreak/>
        <w:t xml:space="preserve">on compulsory capacity development, mandatory training days and minimum entry requirements for senior management service </w:t>
      </w:r>
      <w:r>
        <w:rPr>
          <w:rFonts w:ascii="Arial" w:eastAsia="Arial" w:hAnsi="Arial"/>
          <w:color w:val="000000"/>
          <w:spacing w:val="5"/>
          <w:sz w:val="22"/>
        </w:rPr>
        <w:t>issued for implementation on 1 April 2015, is a subordinate legislation to the Public Service Act, 1994, which stipulates the minimum entry requirements for Senior Management</w:t>
      </w:r>
      <w:r w:rsidR="00040AD8">
        <w:rPr>
          <w:rFonts w:ascii="Arial" w:eastAsia="Arial" w:hAnsi="Arial"/>
          <w:color w:val="000000"/>
          <w:spacing w:val="5"/>
        </w:rPr>
        <w:t xml:space="preserve"> </w:t>
      </w:r>
      <w:r w:rsidRPr="00040AD8">
        <w:rPr>
          <w:rFonts w:ascii="Arial" w:eastAsia="Arial" w:hAnsi="Arial"/>
          <w:color w:val="000000"/>
          <w:sz w:val="22"/>
        </w:rPr>
        <w:t>Service (SMS) posts.</w:t>
      </w:r>
      <w:r w:rsidRPr="00040AD8">
        <w:rPr>
          <w:rFonts w:ascii="Arial" w:eastAsia="Arial" w:hAnsi="Arial"/>
          <w:color w:val="000000"/>
          <w:sz w:val="22"/>
        </w:rPr>
        <w:tab/>
      </w:r>
    </w:p>
    <w:p w:rsidR="00040AD8" w:rsidRDefault="00040AD8" w:rsidP="00CD33AE">
      <w:pPr>
        <w:tabs>
          <w:tab w:val="left" w:pos="3384"/>
        </w:tabs>
        <w:spacing w:line="306" w:lineRule="exact"/>
        <w:ind w:left="720" w:right="72"/>
        <w:jc w:val="both"/>
        <w:textAlignment w:val="baseline"/>
        <w:rPr>
          <w:rFonts w:ascii="Arial" w:eastAsia="Arial" w:hAnsi="Arial"/>
          <w:color w:val="000000"/>
          <w:sz w:val="22"/>
        </w:rPr>
      </w:pPr>
    </w:p>
    <w:p w:rsidR="00CD33AE" w:rsidRDefault="00CD33AE" w:rsidP="00CD33AE">
      <w:pPr>
        <w:tabs>
          <w:tab w:val="left" w:pos="3384"/>
        </w:tabs>
        <w:spacing w:line="306" w:lineRule="exact"/>
        <w:ind w:left="720" w:right="72"/>
        <w:jc w:val="both"/>
        <w:textAlignment w:val="baseline"/>
        <w:rPr>
          <w:rFonts w:ascii="Arial" w:eastAsia="Arial" w:hAnsi="Arial"/>
          <w:color w:val="000000"/>
        </w:rPr>
      </w:pPr>
      <w:r>
        <w:rPr>
          <w:rFonts w:ascii="Arial" w:eastAsia="Arial" w:hAnsi="Arial"/>
          <w:color w:val="000000"/>
          <w:sz w:val="22"/>
        </w:rPr>
        <w:t>The Directive, which is current</w:t>
      </w:r>
      <w:r w:rsidR="00040AD8">
        <w:rPr>
          <w:rFonts w:ascii="Arial" w:eastAsia="Arial" w:hAnsi="Arial"/>
          <w:color w:val="000000"/>
          <w:sz w:val="22"/>
        </w:rPr>
        <w:t xml:space="preserve">ly being implemented by </w:t>
      </w:r>
      <w:r>
        <w:rPr>
          <w:rFonts w:ascii="Arial" w:eastAsia="Arial" w:hAnsi="Arial"/>
          <w:color w:val="000000"/>
          <w:sz w:val="22"/>
        </w:rPr>
        <w:t>departments, indicates the entry requirements in terms of educational qualifications and years of experience for the different levels of SMS posts.</w:t>
      </w:r>
    </w:p>
    <w:p w:rsidR="00CD33AE" w:rsidRDefault="00CD33AE" w:rsidP="00CD33AE">
      <w:pPr>
        <w:numPr>
          <w:ilvl w:val="0"/>
          <w:numId w:val="7"/>
        </w:numPr>
        <w:tabs>
          <w:tab w:val="clear" w:pos="648"/>
          <w:tab w:val="left" w:pos="720"/>
        </w:tabs>
        <w:spacing w:before="277" w:line="306" w:lineRule="exact"/>
        <w:ind w:right="72" w:hanging="648"/>
        <w:jc w:val="both"/>
        <w:textAlignment w:val="baseline"/>
        <w:rPr>
          <w:rFonts w:ascii="Arial" w:eastAsia="Arial" w:hAnsi="Arial"/>
          <w:color w:val="000000"/>
          <w:spacing w:val="6"/>
        </w:rPr>
      </w:pPr>
      <w:r>
        <w:rPr>
          <w:rFonts w:ascii="Arial" w:eastAsia="Arial" w:hAnsi="Arial"/>
          <w:color w:val="000000"/>
          <w:spacing w:val="6"/>
          <w:sz w:val="22"/>
        </w:rPr>
        <w:t>The Directive mentioned in paragraph 1 supra, also provides for the management of development priorities for existing SMS members in</w:t>
      </w:r>
      <w:r w:rsidR="00040AD8">
        <w:rPr>
          <w:rFonts w:ascii="Arial" w:eastAsia="Arial" w:hAnsi="Arial"/>
          <w:color w:val="000000"/>
          <w:spacing w:val="6"/>
          <w:sz w:val="22"/>
        </w:rPr>
        <w:t>-</w:t>
      </w:r>
      <w:r>
        <w:rPr>
          <w:rFonts w:ascii="Arial" w:eastAsia="Arial" w:hAnsi="Arial"/>
          <w:color w:val="000000"/>
          <w:spacing w:val="6"/>
          <w:sz w:val="22"/>
        </w:rPr>
        <w:t>so</w:t>
      </w:r>
      <w:r w:rsidR="00040AD8">
        <w:rPr>
          <w:rFonts w:ascii="Arial" w:eastAsia="Arial" w:hAnsi="Arial"/>
          <w:color w:val="000000"/>
          <w:spacing w:val="6"/>
          <w:sz w:val="22"/>
        </w:rPr>
        <w:t>-</w:t>
      </w:r>
      <w:r>
        <w:rPr>
          <w:rFonts w:ascii="Arial" w:eastAsia="Arial" w:hAnsi="Arial"/>
          <w:color w:val="000000"/>
          <w:spacing w:val="6"/>
          <w:sz w:val="22"/>
        </w:rPr>
        <w:t>far as providing specific training and development opportunities in order to ensure that the incumbent members who do not meet the minimum requirements are capacitated, as well as mandating the expected minimum qualification requirements for progression to higher posts.</w:t>
      </w:r>
    </w:p>
    <w:p w:rsidR="00CD33AE" w:rsidRDefault="00CD33AE" w:rsidP="00040AD8">
      <w:pPr>
        <w:tabs>
          <w:tab w:val="left" w:pos="720"/>
        </w:tabs>
        <w:spacing w:before="273" w:line="306" w:lineRule="exact"/>
        <w:ind w:left="1440" w:right="72" w:hanging="1440"/>
        <w:jc w:val="both"/>
        <w:textAlignment w:val="baseline"/>
        <w:rPr>
          <w:rFonts w:ascii="Arial" w:eastAsia="Arial" w:hAnsi="Arial"/>
          <w:color w:val="000000"/>
          <w:spacing w:val="4"/>
        </w:rPr>
      </w:pPr>
      <w:r>
        <w:rPr>
          <w:rFonts w:ascii="Arial" w:eastAsia="Arial" w:hAnsi="Arial"/>
          <w:color w:val="000000"/>
          <w:spacing w:val="4"/>
          <w:sz w:val="22"/>
        </w:rPr>
        <w:t>(3)</w:t>
      </w:r>
      <w:r w:rsidR="00040AD8">
        <w:rPr>
          <w:rFonts w:ascii="Arial" w:eastAsia="Arial" w:hAnsi="Arial"/>
          <w:color w:val="000000"/>
          <w:spacing w:val="4"/>
          <w:sz w:val="22"/>
        </w:rPr>
        <w:tab/>
      </w:r>
      <w:r>
        <w:rPr>
          <w:rFonts w:ascii="Arial" w:eastAsia="Arial" w:hAnsi="Arial"/>
          <w:color w:val="000000"/>
          <w:spacing w:val="4"/>
          <w:sz w:val="22"/>
        </w:rPr>
        <w:t xml:space="preserve">(a) </w:t>
      </w:r>
      <w:r w:rsidR="00040AD8">
        <w:rPr>
          <w:rFonts w:ascii="Arial" w:eastAsia="Arial" w:hAnsi="Arial"/>
          <w:color w:val="000000"/>
          <w:spacing w:val="4"/>
          <w:sz w:val="22"/>
        </w:rPr>
        <w:tab/>
      </w:r>
      <w:r>
        <w:rPr>
          <w:rFonts w:ascii="Arial" w:eastAsia="Arial" w:hAnsi="Arial"/>
          <w:color w:val="000000"/>
          <w:spacing w:val="4"/>
          <w:sz w:val="22"/>
        </w:rPr>
        <w:t xml:space="preserve">A uniform salary dispensation applies to Directors-General across all national departments who are appointed in terms of the Public Service Act, 1994. A different salary dispensation applies to Directors-General in the so-called </w:t>
      </w:r>
      <w:r>
        <w:rPr>
          <w:rFonts w:ascii="Arial" w:eastAsia="Arial" w:hAnsi="Arial"/>
          <w:i/>
          <w:color w:val="000000"/>
          <w:spacing w:val="4"/>
          <w:sz w:val="22"/>
        </w:rPr>
        <w:t>"services departments"</w:t>
      </w:r>
      <w:r w:rsidR="00040AD8">
        <w:rPr>
          <w:rFonts w:ascii="Arial" w:eastAsia="Arial" w:hAnsi="Arial"/>
          <w:i/>
          <w:color w:val="000000"/>
          <w:spacing w:val="4"/>
          <w:sz w:val="22"/>
        </w:rPr>
        <w:t xml:space="preserve"> </w:t>
      </w:r>
      <w:r>
        <w:rPr>
          <w:rFonts w:ascii="Arial" w:eastAsia="Arial" w:hAnsi="Arial"/>
          <w:i/>
          <w:color w:val="000000"/>
          <w:spacing w:val="4"/>
          <w:sz w:val="22"/>
        </w:rPr>
        <w:t xml:space="preserve">who </w:t>
      </w:r>
      <w:r>
        <w:rPr>
          <w:rFonts w:ascii="Arial" w:eastAsia="Arial" w:hAnsi="Arial"/>
          <w:color w:val="000000"/>
          <w:spacing w:val="4"/>
          <w:sz w:val="22"/>
        </w:rPr>
        <w:t>are appointed in terms of the Police Act, the Correctional Services Act and the Defence Act.</w:t>
      </w:r>
    </w:p>
    <w:p w:rsidR="00CD33AE" w:rsidRPr="00040AD8" w:rsidRDefault="00040AD8" w:rsidP="00040AD8">
      <w:pPr>
        <w:tabs>
          <w:tab w:val="left" w:pos="720"/>
        </w:tabs>
        <w:spacing w:before="328" w:line="253" w:lineRule="exact"/>
        <w:ind w:left="1437" w:right="72" w:hanging="1365"/>
        <w:jc w:val="both"/>
        <w:textAlignment w:val="baseline"/>
        <w:rPr>
          <w:rFonts w:ascii="Arial" w:eastAsia="Arial" w:hAnsi="Arial"/>
          <w:color w:val="000000"/>
          <w:spacing w:val="4"/>
        </w:rPr>
      </w:pPr>
      <w:r>
        <w:rPr>
          <w:rFonts w:ascii="Arial" w:eastAsia="Arial" w:hAnsi="Arial"/>
          <w:color w:val="000000"/>
          <w:spacing w:val="4"/>
          <w:sz w:val="22"/>
        </w:rPr>
        <w:tab/>
      </w:r>
      <w:r w:rsidR="00CD33AE">
        <w:rPr>
          <w:rFonts w:ascii="Arial" w:eastAsia="Arial" w:hAnsi="Arial"/>
          <w:color w:val="000000"/>
          <w:spacing w:val="4"/>
          <w:sz w:val="22"/>
        </w:rPr>
        <w:t>(b)</w:t>
      </w:r>
      <w:r w:rsidR="00CD33AE">
        <w:rPr>
          <w:rFonts w:ascii="Arial" w:eastAsia="Arial" w:hAnsi="Arial"/>
          <w:color w:val="000000"/>
          <w:spacing w:val="4"/>
          <w:sz w:val="22"/>
        </w:rPr>
        <w:tab/>
        <w:t>The reason for the differentiation is the difference in employer contribution towards</w:t>
      </w:r>
      <w:r>
        <w:rPr>
          <w:rFonts w:ascii="Arial" w:eastAsia="Arial" w:hAnsi="Arial"/>
          <w:color w:val="000000"/>
          <w:spacing w:val="4"/>
        </w:rPr>
        <w:t xml:space="preserve"> </w:t>
      </w:r>
      <w:r w:rsidR="00CD33AE">
        <w:rPr>
          <w:rFonts w:ascii="Arial" w:eastAsia="Arial" w:hAnsi="Arial"/>
          <w:color w:val="000000"/>
          <w:sz w:val="22"/>
        </w:rPr>
        <w:t>the Government Employees Pension Fund (GEPF) between Public Service Act appointees on the one hand and those appointed in terms of the Acts for the services departments on the other.</w:t>
      </w:r>
    </w:p>
    <w:p w:rsidR="00CD33AE" w:rsidRDefault="00CD33AE" w:rsidP="00040AD8">
      <w:pPr>
        <w:numPr>
          <w:ilvl w:val="0"/>
          <w:numId w:val="8"/>
        </w:numPr>
        <w:spacing w:before="274" w:line="306" w:lineRule="exact"/>
        <w:ind w:left="2160" w:right="72" w:hanging="720"/>
        <w:jc w:val="both"/>
        <w:textAlignment w:val="baseline"/>
        <w:rPr>
          <w:rFonts w:ascii="Arial" w:eastAsia="Arial" w:hAnsi="Arial"/>
          <w:color w:val="000000"/>
        </w:rPr>
      </w:pPr>
      <w:r>
        <w:rPr>
          <w:rFonts w:ascii="Arial" w:eastAsia="Arial" w:hAnsi="Arial"/>
          <w:color w:val="000000"/>
          <w:sz w:val="22"/>
        </w:rPr>
        <w:t>Directors-General appointed in terms of the Public Service Act are paid at the same level irrespective of the size of budget of the department because of the core responsibilities performed as accounting officers.</w:t>
      </w:r>
    </w:p>
    <w:p w:rsidR="00CD33AE" w:rsidRPr="005E1E92" w:rsidRDefault="00CD33AE" w:rsidP="00040AD8">
      <w:pPr>
        <w:numPr>
          <w:ilvl w:val="0"/>
          <w:numId w:val="8"/>
        </w:numPr>
        <w:spacing w:before="275" w:line="306" w:lineRule="exact"/>
        <w:ind w:left="2160" w:right="72" w:hanging="720"/>
        <w:jc w:val="both"/>
        <w:textAlignment w:val="baseline"/>
        <w:rPr>
          <w:rFonts w:ascii="Arial" w:eastAsia="Arial" w:hAnsi="Arial"/>
          <w:color w:val="000000"/>
        </w:rPr>
      </w:pPr>
      <w:r>
        <w:rPr>
          <w:rFonts w:ascii="Arial" w:eastAsia="Arial" w:hAnsi="Arial"/>
          <w:color w:val="000000"/>
          <w:sz w:val="22"/>
        </w:rPr>
        <w:t>The full-time salary scales (Total Cost-to-Employer packages) for Directors-General appointed in terms of the Public Service Act and the Acts for the services departments are contained in the Table below as follows:</w:t>
      </w:r>
    </w:p>
    <w:p w:rsidR="005E1E92" w:rsidRDefault="005E1E92" w:rsidP="005E1E92">
      <w:pPr>
        <w:tabs>
          <w:tab w:val="left" w:pos="2160"/>
        </w:tabs>
        <w:spacing w:before="275" w:line="306" w:lineRule="exact"/>
        <w:ind w:left="2160" w:right="72"/>
        <w:jc w:val="both"/>
        <w:textAlignment w:val="baseline"/>
        <w:rPr>
          <w:rFonts w:ascii="Arial" w:eastAsia="Arial" w:hAnsi="Arial"/>
          <w:color w:val="000000"/>
        </w:rPr>
      </w:pPr>
    </w:p>
    <w:tbl>
      <w:tblPr>
        <w:tblW w:w="0" w:type="auto"/>
        <w:tblInd w:w="848" w:type="dxa"/>
        <w:tblLayout w:type="fixed"/>
        <w:tblCellMar>
          <w:left w:w="0" w:type="dxa"/>
          <w:right w:w="0" w:type="dxa"/>
        </w:tblCellMar>
        <w:tblLook w:val="0000"/>
      </w:tblPr>
      <w:tblGrid>
        <w:gridCol w:w="1814"/>
        <w:gridCol w:w="471"/>
        <w:gridCol w:w="2064"/>
        <w:gridCol w:w="1742"/>
        <w:gridCol w:w="471"/>
        <w:gridCol w:w="2049"/>
      </w:tblGrid>
      <w:tr w:rsidR="00CD33AE" w:rsidTr="00F368D8">
        <w:tblPrEx>
          <w:tblCellMar>
            <w:top w:w="0" w:type="dxa"/>
            <w:bottom w:w="0" w:type="dxa"/>
          </w:tblCellMar>
        </w:tblPrEx>
        <w:trPr>
          <w:trHeight w:hRule="exact" w:val="946"/>
        </w:trPr>
        <w:tc>
          <w:tcPr>
            <w:tcW w:w="4349" w:type="dxa"/>
            <w:gridSpan w:val="3"/>
            <w:tcBorders>
              <w:top w:val="single" w:sz="4" w:space="0" w:color="000000"/>
              <w:left w:val="single" w:sz="4" w:space="0" w:color="000000"/>
              <w:bottom w:val="single" w:sz="4" w:space="0" w:color="000000"/>
              <w:right w:val="single" w:sz="4" w:space="0" w:color="000000"/>
            </w:tcBorders>
            <w:shd w:val="clear" w:color="auto" w:fill="BFBFBF"/>
          </w:tcPr>
          <w:p w:rsidR="00CD33AE" w:rsidRDefault="00CD33AE" w:rsidP="005C2702">
            <w:pPr>
              <w:spacing w:after="54" w:line="440" w:lineRule="exact"/>
              <w:jc w:val="center"/>
              <w:textAlignment w:val="baseline"/>
              <w:rPr>
                <w:rFonts w:ascii="Arial" w:eastAsia="Arial" w:hAnsi="Arial"/>
                <w:color w:val="000000"/>
                <w:sz w:val="23"/>
              </w:rPr>
            </w:pPr>
            <w:r>
              <w:rPr>
                <w:rFonts w:ascii="Arial" w:eastAsia="Arial" w:hAnsi="Arial"/>
                <w:color w:val="000000"/>
                <w:sz w:val="23"/>
              </w:rPr>
              <w:t xml:space="preserve">PUBLIC SERVICE ACT </w:t>
            </w:r>
            <w:r>
              <w:rPr>
                <w:rFonts w:ascii="Arial" w:eastAsia="Arial" w:hAnsi="Arial"/>
                <w:color w:val="000000"/>
                <w:sz w:val="23"/>
              </w:rPr>
              <w:br/>
              <w:t>(Rpa)</w:t>
            </w:r>
          </w:p>
        </w:tc>
        <w:tc>
          <w:tcPr>
            <w:tcW w:w="4262" w:type="dxa"/>
            <w:gridSpan w:val="3"/>
            <w:tcBorders>
              <w:top w:val="single" w:sz="4" w:space="0" w:color="000000"/>
              <w:left w:val="single" w:sz="4" w:space="0" w:color="000000"/>
              <w:bottom w:val="single" w:sz="4" w:space="0" w:color="000000"/>
              <w:right w:val="single" w:sz="4" w:space="0" w:color="000000"/>
            </w:tcBorders>
            <w:shd w:val="clear" w:color="auto" w:fill="BFBFBF"/>
          </w:tcPr>
          <w:p w:rsidR="00CD33AE" w:rsidRDefault="00CD33AE" w:rsidP="005C2702">
            <w:pPr>
              <w:spacing w:before="74" w:line="272" w:lineRule="exact"/>
              <w:jc w:val="center"/>
              <w:textAlignment w:val="baseline"/>
              <w:rPr>
                <w:rFonts w:ascii="Arial" w:eastAsia="Arial" w:hAnsi="Arial"/>
                <w:color w:val="000000"/>
                <w:sz w:val="23"/>
              </w:rPr>
            </w:pPr>
            <w:r>
              <w:rPr>
                <w:rFonts w:ascii="Arial" w:eastAsia="Arial" w:hAnsi="Arial"/>
                <w:color w:val="000000"/>
                <w:sz w:val="23"/>
              </w:rPr>
              <w:t xml:space="preserve">POLICE ACT, CORRECTIONAL </w:t>
            </w:r>
            <w:r>
              <w:rPr>
                <w:rFonts w:ascii="Arial" w:eastAsia="Arial" w:hAnsi="Arial"/>
                <w:color w:val="000000"/>
                <w:sz w:val="23"/>
              </w:rPr>
              <w:br/>
              <w:t>SERVICES ACT AND DEFENCE ACT</w:t>
            </w:r>
          </w:p>
          <w:p w:rsidR="00CD33AE" w:rsidRDefault="00CD33AE" w:rsidP="005C2702">
            <w:pPr>
              <w:spacing w:before="8" w:after="47" w:line="262" w:lineRule="exact"/>
              <w:ind w:left="1800"/>
              <w:textAlignment w:val="baseline"/>
              <w:rPr>
                <w:rFonts w:ascii="Arial" w:eastAsia="Arial" w:hAnsi="Arial"/>
                <w:color w:val="000000"/>
                <w:sz w:val="23"/>
              </w:rPr>
            </w:pPr>
            <w:r>
              <w:rPr>
                <w:rFonts w:ascii="Arial" w:eastAsia="Arial" w:hAnsi="Arial"/>
                <w:color w:val="000000"/>
                <w:sz w:val="23"/>
              </w:rPr>
              <w:t>(Rpa)</w:t>
            </w:r>
          </w:p>
        </w:tc>
      </w:tr>
      <w:tr w:rsidR="00CD33AE" w:rsidTr="005C2702">
        <w:tblPrEx>
          <w:tblCellMar>
            <w:top w:w="0" w:type="dxa"/>
            <w:bottom w:w="0" w:type="dxa"/>
          </w:tblCellMar>
        </w:tblPrEx>
        <w:trPr>
          <w:trHeight w:hRule="exact" w:val="432"/>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93" w:after="70"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93" w:after="70" w:line="258" w:lineRule="exact"/>
              <w:ind w:right="29"/>
              <w:jc w:val="right"/>
              <w:textAlignment w:val="baseline"/>
              <w:rPr>
                <w:rFonts w:ascii="Arial" w:eastAsia="Arial" w:hAnsi="Arial"/>
                <w:color w:val="000000"/>
                <w:sz w:val="23"/>
              </w:rPr>
            </w:pPr>
            <w:r>
              <w:rPr>
                <w:rFonts w:ascii="Arial" w:eastAsia="Arial" w:hAnsi="Arial"/>
                <w:color w:val="000000"/>
                <w:sz w:val="23"/>
              </w:rPr>
              <w:t>656</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93" w:after="70" w:line="258" w:lineRule="exact"/>
              <w:ind w:right="1642"/>
              <w:jc w:val="right"/>
              <w:textAlignment w:val="baseline"/>
              <w:rPr>
                <w:rFonts w:ascii="Arial" w:eastAsia="Arial" w:hAnsi="Arial"/>
                <w:color w:val="000000"/>
                <w:sz w:val="23"/>
              </w:rPr>
            </w:pPr>
            <w:r>
              <w:rPr>
                <w:rFonts w:ascii="Arial" w:eastAsia="Arial" w:hAnsi="Arial"/>
                <w:color w:val="000000"/>
                <w:sz w:val="23"/>
              </w:rPr>
              <w:t>618</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93" w:after="70"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97" w:after="66" w:line="258" w:lineRule="exact"/>
              <w:ind w:right="29"/>
              <w:jc w:val="right"/>
              <w:textAlignment w:val="baseline"/>
              <w:rPr>
                <w:rFonts w:ascii="Arial" w:eastAsia="Arial" w:hAnsi="Arial"/>
                <w:color w:val="000000"/>
                <w:sz w:val="23"/>
              </w:rPr>
            </w:pPr>
            <w:r>
              <w:rPr>
                <w:rFonts w:ascii="Arial" w:eastAsia="Arial" w:hAnsi="Arial"/>
                <w:color w:val="000000"/>
                <w:sz w:val="23"/>
              </w:rPr>
              <w:t>686</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97" w:after="66" w:line="258" w:lineRule="exact"/>
              <w:ind w:right="1627"/>
              <w:jc w:val="right"/>
              <w:textAlignment w:val="baseline"/>
              <w:rPr>
                <w:rFonts w:ascii="Arial" w:eastAsia="Arial" w:hAnsi="Arial"/>
                <w:color w:val="000000"/>
                <w:sz w:val="23"/>
              </w:rPr>
            </w:pPr>
            <w:r>
              <w:rPr>
                <w:rFonts w:ascii="Arial" w:eastAsia="Arial" w:hAnsi="Arial"/>
                <w:color w:val="000000"/>
                <w:sz w:val="23"/>
              </w:rPr>
              <w:t>438</w:t>
            </w:r>
          </w:p>
        </w:tc>
      </w:tr>
      <w:tr w:rsidR="00CD33AE" w:rsidTr="005C2702">
        <w:tblPrEx>
          <w:tblCellMar>
            <w:top w:w="0" w:type="dxa"/>
            <w:bottom w:w="0" w:type="dxa"/>
          </w:tblCellMar>
        </w:tblPrEx>
        <w:trPr>
          <w:trHeight w:hRule="exact" w:val="412"/>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78" w:after="71"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78" w:after="71" w:line="258" w:lineRule="exact"/>
              <w:ind w:right="29"/>
              <w:jc w:val="right"/>
              <w:textAlignment w:val="baseline"/>
              <w:rPr>
                <w:rFonts w:ascii="Arial" w:eastAsia="Arial" w:hAnsi="Arial"/>
                <w:color w:val="000000"/>
                <w:sz w:val="23"/>
              </w:rPr>
            </w:pPr>
            <w:r>
              <w:rPr>
                <w:rFonts w:ascii="Arial" w:eastAsia="Arial" w:hAnsi="Arial"/>
                <w:color w:val="000000"/>
                <w:sz w:val="23"/>
              </w:rPr>
              <w:t>681</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78" w:after="71" w:line="258" w:lineRule="exact"/>
              <w:ind w:right="1642"/>
              <w:jc w:val="right"/>
              <w:textAlignment w:val="baseline"/>
              <w:rPr>
                <w:rFonts w:ascii="Arial" w:eastAsia="Arial" w:hAnsi="Arial"/>
                <w:color w:val="000000"/>
                <w:sz w:val="23"/>
              </w:rPr>
            </w:pPr>
            <w:r>
              <w:rPr>
                <w:rFonts w:ascii="Arial" w:eastAsia="Arial" w:hAnsi="Arial"/>
                <w:color w:val="000000"/>
                <w:sz w:val="23"/>
              </w:rPr>
              <w:t>464</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3" w:after="66"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3" w:after="66" w:line="258" w:lineRule="exact"/>
              <w:ind w:right="29"/>
              <w:jc w:val="right"/>
              <w:textAlignment w:val="baseline"/>
              <w:rPr>
                <w:rFonts w:ascii="Arial" w:eastAsia="Arial" w:hAnsi="Arial"/>
                <w:color w:val="000000"/>
                <w:sz w:val="23"/>
              </w:rPr>
            </w:pPr>
            <w:r>
              <w:rPr>
                <w:rFonts w:ascii="Arial" w:eastAsia="Arial" w:hAnsi="Arial"/>
                <w:color w:val="000000"/>
                <w:sz w:val="23"/>
              </w:rPr>
              <w:t>711</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3" w:after="66" w:line="258" w:lineRule="exact"/>
              <w:ind w:right="1627"/>
              <w:jc w:val="right"/>
              <w:textAlignment w:val="baseline"/>
              <w:rPr>
                <w:rFonts w:ascii="Arial" w:eastAsia="Arial" w:hAnsi="Arial"/>
                <w:color w:val="000000"/>
                <w:sz w:val="23"/>
              </w:rPr>
            </w:pPr>
            <w:r>
              <w:rPr>
                <w:rFonts w:ascii="Arial" w:eastAsia="Arial" w:hAnsi="Arial"/>
                <w:color w:val="000000"/>
                <w:sz w:val="23"/>
              </w:rPr>
              <w:t>737</w:t>
            </w:r>
          </w:p>
        </w:tc>
      </w:tr>
      <w:tr w:rsidR="00CD33AE" w:rsidTr="005C2702">
        <w:tblPrEx>
          <w:tblCellMar>
            <w:top w:w="0" w:type="dxa"/>
            <w:bottom w:w="0" w:type="dxa"/>
          </w:tblCellMar>
        </w:tblPrEx>
        <w:trPr>
          <w:trHeight w:hRule="exact" w:val="413"/>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79" w:after="75"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79" w:after="75" w:line="258" w:lineRule="exact"/>
              <w:ind w:right="29"/>
              <w:jc w:val="right"/>
              <w:textAlignment w:val="baseline"/>
              <w:rPr>
                <w:rFonts w:ascii="Arial" w:eastAsia="Arial" w:hAnsi="Arial"/>
                <w:color w:val="000000"/>
                <w:sz w:val="23"/>
              </w:rPr>
            </w:pPr>
            <w:r>
              <w:rPr>
                <w:rFonts w:ascii="Arial" w:eastAsia="Arial" w:hAnsi="Arial"/>
                <w:color w:val="000000"/>
                <w:sz w:val="23"/>
              </w:rPr>
              <w:t>706</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0" w:after="74" w:line="258" w:lineRule="exact"/>
              <w:ind w:right="1642"/>
              <w:jc w:val="right"/>
              <w:textAlignment w:val="baseline"/>
              <w:rPr>
                <w:rFonts w:ascii="Arial" w:eastAsia="Arial" w:hAnsi="Arial"/>
                <w:color w:val="000000"/>
                <w:sz w:val="23"/>
              </w:rPr>
            </w:pPr>
            <w:r>
              <w:rPr>
                <w:rFonts w:ascii="Arial" w:eastAsia="Arial" w:hAnsi="Arial"/>
                <w:color w:val="000000"/>
                <w:sz w:val="23"/>
              </w:rPr>
              <w:t>694</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4" w:after="70"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4" w:after="70" w:line="258" w:lineRule="exact"/>
              <w:ind w:right="29"/>
              <w:jc w:val="right"/>
              <w:textAlignment w:val="baseline"/>
              <w:rPr>
                <w:rFonts w:ascii="Arial" w:eastAsia="Arial" w:hAnsi="Arial"/>
                <w:color w:val="000000"/>
                <w:sz w:val="23"/>
              </w:rPr>
            </w:pPr>
            <w:r>
              <w:rPr>
                <w:rFonts w:ascii="Arial" w:eastAsia="Arial" w:hAnsi="Arial"/>
                <w:color w:val="000000"/>
                <w:sz w:val="23"/>
              </w:rPr>
              <w:t>737</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4" w:after="70" w:line="258" w:lineRule="exact"/>
              <w:ind w:right="1627"/>
              <w:jc w:val="right"/>
              <w:textAlignment w:val="baseline"/>
              <w:rPr>
                <w:rFonts w:ascii="Arial" w:eastAsia="Arial" w:hAnsi="Arial"/>
                <w:color w:val="000000"/>
                <w:sz w:val="23"/>
              </w:rPr>
            </w:pPr>
            <w:r>
              <w:rPr>
                <w:rFonts w:ascii="Arial" w:eastAsia="Arial" w:hAnsi="Arial"/>
                <w:color w:val="000000"/>
                <w:sz w:val="23"/>
              </w:rPr>
              <w:t>414</w:t>
            </w:r>
          </w:p>
        </w:tc>
      </w:tr>
      <w:tr w:rsidR="00CD33AE" w:rsidTr="005C2702">
        <w:tblPrEx>
          <w:tblCellMar>
            <w:top w:w="0" w:type="dxa"/>
            <w:bottom w:w="0" w:type="dxa"/>
          </w:tblCellMar>
        </w:tblPrEx>
        <w:trPr>
          <w:trHeight w:hRule="exact" w:val="408"/>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79" w:after="66" w:line="258" w:lineRule="exact"/>
              <w:ind w:right="43"/>
              <w:jc w:val="right"/>
              <w:textAlignment w:val="baseline"/>
              <w:rPr>
                <w:rFonts w:ascii="Arial" w:eastAsia="Arial" w:hAnsi="Arial"/>
                <w:color w:val="000000"/>
                <w:sz w:val="23"/>
              </w:rPr>
            </w:pPr>
            <w:r>
              <w:rPr>
                <w:rFonts w:ascii="Arial" w:eastAsia="Arial" w:hAnsi="Arial"/>
                <w:color w:val="000000"/>
                <w:sz w:val="23"/>
              </w:rPr>
              <w:lastRenderedPageBreak/>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79" w:after="66" w:line="258" w:lineRule="exact"/>
              <w:ind w:right="29"/>
              <w:jc w:val="right"/>
              <w:textAlignment w:val="baseline"/>
              <w:rPr>
                <w:rFonts w:ascii="Arial" w:eastAsia="Arial" w:hAnsi="Arial"/>
                <w:color w:val="000000"/>
                <w:sz w:val="23"/>
              </w:rPr>
            </w:pPr>
            <w:r>
              <w:rPr>
                <w:rFonts w:ascii="Arial" w:eastAsia="Arial" w:hAnsi="Arial"/>
                <w:color w:val="000000"/>
                <w:sz w:val="23"/>
              </w:rPr>
              <w:t>732</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79" w:after="66" w:line="258" w:lineRule="exact"/>
              <w:ind w:right="1642"/>
              <w:jc w:val="right"/>
              <w:textAlignment w:val="baseline"/>
              <w:rPr>
                <w:rFonts w:ascii="Arial" w:eastAsia="Arial" w:hAnsi="Arial"/>
                <w:color w:val="000000"/>
                <w:sz w:val="23"/>
              </w:rPr>
            </w:pPr>
            <w:r>
              <w:rPr>
                <w:rFonts w:ascii="Arial" w:eastAsia="Arial" w:hAnsi="Arial"/>
                <w:color w:val="000000"/>
                <w:sz w:val="23"/>
              </w:rPr>
              <w:t>299</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79" w:after="66"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4" w:after="61" w:line="258" w:lineRule="exact"/>
              <w:ind w:right="29"/>
              <w:jc w:val="right"/>
              <w:textAlignment w:val="baseline"/>
              <w:rPr>
                <w:rFonts w:ascii="Arial" w:eastAsia="Arial" w:hAnsi="Arial"/>
                <w:color w:val="000000"/>
                <w:sz w:val="23"/>
              </w:rPr>
            </w:pPr>
            <w:r>
              <w:rPr>
                <w:rFonts w:ascii="Arial" w:eastAsia="Arial" w:hAnsi="Arial"/>
                <w:color w:val="000000"/>
                <w:sz w:val="23"/>
              </w:rPr>
              <w:t>763</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8" w:after="57" w:line="258" w:lineRule="exact"/>
              <w:ind w:right="1627"/>
              <w:jc w:val="right"/>
              <w:textAlignment w:val="baseline"/>
              <w:rPr>
                <w:rFonts w:ascii="Arial" w:eastAsia="Arial" w:hAnsi="Arial"/>
                <w:color w:val="000000"/>
                <w:sz w:val="23"/>
              </w:rPr>
            </w:pPr>
            <w:r>
              <w:rPr>
                <w:rFonts w:ascii="Arial" w:eastAsia="Arial" w:hAnsi="Arial"/>
                <w:color w:val="000000"/>
                <w:sz w:val="23"/>
              </w:rPr>
              <w:t>475</w:t>
            </w:r>
          </w:p>
        </w:tc>
      </w:tr>
      <w:tr w:rsidR="00CD33AE" w:rsidTr="005C2702">
        <w:tblPrEx>
          <w:tblCellMar>
            <w:top w:w="0" w:type="dxa"/>
            <w:bottom w:w="0" w:type="dxa"/>
          </w:tblCellMar>
        </w:tblPrEx>
        <w:trPr>
          <w:trHeight w:hRule="exact" w:val="427"/>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8" w:after="81"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8" w:after="81" w:line="258" w:lineRule="exact"/>
              <w:ind w:right="29"/>
              <w:jc w:val="right"/>
              <w:textAlignment w:val="baseline"/>
              <w:rPr>
                <w:rFonts w:ascii="Arial" w:eastAsia="Arial" w:hAnsi="Arial"/>
                <w:color w:val="000000"/>
                <w:sz w:val="23"/>
              </w:rPr>
            </w:pPr>
            <w:r>
              <w:rPr>
                <w:rFonts w:ascii="Arial" w:eastAsia="Arial" w:hAnsi="Arial"/>
                <w:color w:val="000000"/>
                <w:sz w:val="23"/>
              </w:rPr>
              <w:t>758</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8" w:after="81" w:line="258" w:lineRule="exact"/>
              <w:ind w:right="1642"/>
              <w:jc w:val="right"/>
              <w:textAlignment w:val="baseline"/>
              <w:rPr>
                <w:rFonts w:ascii="Arial" w:eastAsia="Arial" w:hAnsi="Arial"/>
                <w:color w:val="000000"/>
                <w:sz w:val="23"/>
              </w:rPr>
            </w:pPr>
            <w:r>
              <w:rPr>
                <w:rFonts w:ascii="Arial" w:eastAsia="Arial" w:hAnsi="Arial"/>
                <w:color w:val="000000"/>
                <w:sz w:val="23"/>
              </w:rPr>
              <w:t>285</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8" w:after="81"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93" w:after="76" w:line="258" w:lineRule="exact"/>
              <w:ind w:right="29"/>
              <w:jc w:val="right"/>
              <w:textAlignment w:val="baseline"/>
              <w:rPr>
                <w:rFonts w:ascii="Arial" w:eastAsia="Arial" w:hAnsi="Arial"/>
                <w:color w:val="000000"/>
                <w:sz w:val="23"/>
              </w:rPr>
            </w:pPr>
            <w:r>
              <w:rPr>
                <w:rFonts w:ascii="Arial" w:eastAsia="Arial" w:hAnsi="Arial"/>
                <w:color w:val="000000"/>
                <w:sz w:val="23"/>
              </w:rPr>
              <w:t>789</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98" w:after="71" w:line="258" w:lineRule="exact"/>
              <w:ind w:right="1627"/>
              <w:jc w:val="right"/>
              <w:textAlignment w:val="baseline"/>
              <w:rPr>
                <w:rFonts w:ascii="Arial" w:eastAsia="Arial" w:hAnsi="Arial"/>
                <w:color w:val="000000"/>
                <w:sz w:val="23"/>
              </w:rPr>
            </w:pPr>
            <w:r>
              <w:rPr>
                <w:rFonts w:ascii="Arial" w:eastAsia="Arial" w:hAnsi="Arial"/>
                <w:color w:val="000000"/>
                <w:sz w:val="23"/>
              </w:rPr>
              <w:t>929</w:t>
            </w:r>
          </w:p>
        </w:tc>
      </w:tr>
      <w:tr w:rsidR="00CD33AE" w:rsidTr="005C2702">
        <w:tblPrEx>
          <w:tblCellMar>
            <w:top w:w="0" w:type="dxa"/>
            <w:bottom w:w="0" w:type="dxa"/>
          </w:tblCellMar>
        </w:tblPrEx>
        <w:trPr>
          <w:trHeight w:hRule="exact" w:val="399"/>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69" w:after="61"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72" w:after="58" w:line="258" w:lineRule="exact"/>
              <w:ind w:right="29"/>
              <w:jc w:val="right"/>
              <w:textAlignment w:val="baseline"/>
              <w:rPr>
                <w:rFonts w:ascii="Arial" w:eastAsia="Arial" w:hAnsi="Arial"/>
                <w:color w:val="000000"/>
                <w:sz w:val="23"/>
              </w:rPr>
            </w:pPr>
            <w:r>
              <w:rPr>
                <w:rFonts w:ascii="Arial" w:eastAsia="Arial" w:hAnsi="Arial"/>
                <w:color w:val="000000"/>
                <w:sz w:val="23"/>
              </w:rPr>
              <w:t>784</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74" w:after="56" w:line="258" w:lineRule="exact"/>
              <w:ind w:right="1642"/>
              <w:jc w:val="right"/>
              <w:textAlignment w:val="baseline"/>
              <w:rPr>
                <w:rFonts w:ascii="Arial" w:eastAsia="Arial" w:hAnsi="Arial"/>
                <w:color w:val="000000"/>
                <w:sz w:val="23"/>
              </w:rPr>
            </w:pPr>
            <w:r>
              <w:rPr>
                <w:rFonts w:ascii="Arial" w:eastAsia="Arial" w:hAnsi="Arial"/>
                <w:color w:val="000000"/>
                <w:sz w:val="23"/>
              </w:rPr>
              <w:t>661</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79" w:after="51"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79" w:after="51" w:line="258" w:lineRule="exact"/>
              <w:ind w:right="29"/>
              <w:jc w:val="right"/>
              <w:textAlignment w:val="baseline"/>
              <w:rPr>
                <w:rFonts w:ascii="Arial" w:eastAsia="Arial" w:hAnsi="Arial"/>
                <w:color w:val="000000"/>
                <w:sz w:val="23"/>
              </w:rPr>
            </w:pPr>
            <w:r>
              <w:rPr>
                <w:rFonts w:ascii="Arial" w:eastAsia="Arial" w:hAnsi="Arial"/>
                <w:color w:val="000000"/>
                <w:sz w:val="23"/>
              </w:rPr>
              <w:t>816</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79" w:after="51" w:line="258" w:lineRule="exact"/>
              <w:ind w:right="1627"/>
              <w:jc w:val="right"/>
              <w:textAlignment w:val="baseline"/>
              <w:rPr>
                <w:rFonts w:ascii="Arial" w:eastAsia="Arial" w:hAnsi="Arial"/>
                <w:color w:val="000000"/>
                <w:sz w:val="23"/>
              </w:rPr>
            </w:pPr>
            <w:r>
              <w:rPr>
                <w:rFonts w:ascii="Arial" w:eastAsia="Arial" w:hAnsi="Arial"/>
                <w:color w:val="000000"/>
                <w:sz w:val="23"/>
              </w:rPr>
              <w:t>782</w:t>
            </w:r>
          </w:p>
        </w:tc>
      </w:tr>
      <w:tr w:rsidR="00CD33AE" w:rsidTr="005C2702">
        <w:tblPrEx>
          <w:tblCellMar>
            <w:top w:w="0" w:type="dxa"/>
            <w:bottom w:w="0" w:type="dxa"/>
          </w:tblCellMar>
        </w:tblPrEx>
        <w:trPr>
          <w:trHeight w:hRule="exact" w:val="413"/>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3" w:after="66"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3" w:after="66" w:line="258" w:lineRule="exact"/>
              <w:ind w:right="29"/>
              <w:jc w:val="right"/>
              <w:textAlignment w:val="baseline"/>
              <w:rPr>
                <w:rFonts w:ascii="Arial" w:eastAsia="Arial" w:hAnsi="Arial"/>
                <w:color w:val="000000"/>
                <w:sz w:val="23"/>
              </w:rPr>
            </w:pPr>
            <w:r>
              <w:rPr>
                <w:rFonts w:ascii="Arial" w:eastAsia="Arial" w:hAnsi="Arial"/>
                <w:color w:val="000000"/>
                <w:sz w:val="23"/>
              </w:rPr>
              <w:t>811</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3" w:after="66" w:line="258" w:lineRule="exact"/>
              <w:ind w:right="1642"/>
              <w:jc w:val="right"/>
              <w:textAlignment w:val="baseline"/>
              <w:rPr>
                <w:rFonts w:ascii="Arial" w:eastAsia="Arial" w:hAnsi="Arial"/>
                <w:color w:val="000000"/>
                <w:sz w:val="23"/>
              </w:rPr>
            </w:pPr>
            <w:r>
              <w:rPr>
                <w:rFonts w:ascii="Arial" w:eastAsia="Arial" w:hAnsi="Arial"/>
                <w:color w:val="000000"/>
                <w:sz w:val="23"/>
              </w:rPr>
              <w:t>427</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3" w:after="66"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3" w:after="66" w:line="258" w:lineRule="exact"/>
              <w:ind w:right="29"/>
              <w:jc w:val="right"/>
              <w:textAlignment w:val="baseline"/>
              <w:rPr>
                <w:rFonts w:ascii="Arial" w:eastAsia="Arial" w:hAnsi="Arial"/>
                <w:color w:val="000000"/>
                <w:sz w:val="23"/>
              </w:rPr>
            </w:pPr>
            <w:r>
              <w:rPr>
                <w:rFonts w:ascii="Arial" w:eastAsia="Arial" w:hAnsi="Arial"/>
                <w:color w:val="000000"/>
                <w:sz w:val="23"/>
              </w:rPr>
              <w:t>844</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4" w:after="65" w:line="258" w:lineRule="exact"/>
              <w:ind w:right="1627"/>
              <w:jc w:val="right"/>
              <w:textAlignment w:val="baseline"/>
              <w:rPr>
                <w:rFonts w:ascii="Arial" w:eastAsia="Arial" w:hAnsi="Arial"/>
                <w:color w:val="000000"/>
                <w:sz w:val="23"/>
              </w:rPr>
            </w:pPr>
            <w:r>
              <w:rPr>
                <w:rFonts w:ascii="Arial" w:eastAsia="Arial" w:hAnsi="Arial"/>
                <w:color w:val="000000"/>
                <w:sz w:val="23"/>
              </w:rPr>
              <w:t>037</w:t>
            </w:r>
          </w:p>
        </w:tc>
      </w:tr>
      <w:tr w:rsidR="00CD33AE" w:rsidTr="005C2702">
        <w:tblPrEx>
          <w:tblCellMar>
            <w:top w:w="0" w:type="dxa"/>
            <w:bottom w:w="0" w:type="dxa"/>
          </w:tblCellMar>
        </w:tblPrEx>
        <w:trPr>
          <w:trHeight w:hRule="exact" w:val="417"/>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8" w:after="66"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8" w:after="66" w:line="258" w:lineRule="exact"/>
              <w:ind w:right="29"/>
              <w:jc w:val="right"/>
              <w:textAlignment w:val="baseline"/>
              <w:rPr>
                <w:rFonts w:ascii="Arial" w:eastAsia="Arial" w:hAnsi="Arial"/>
                <w:color w:val="000000"/>
                <w:sz w:val="23"/>
              </w:rPr>
            </w:pPr>
            <w:r>
              <w:rPr>
                <w:rFonts w:ascii="Arial" w:eastAsia="Arial" w:hAnsi="Arial"/>
                <w:color w:val="000000"/>
                <w:sz w:val="23"/>
              </w:rPr>
              <w:t>838</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4" w:after="70" w:line="258" w:lineRule="exact"/>
              <w:ind w:right="1642"/>
              <w:jc w:val="right"/>
              <w:textAlignment w:val="baseline"/>
              <w:rPr>
                <w:rFonts w:ascii="Arial" w:eastAsia="Arial" w:hAnsi="Arial"/>
                <w:color w:val="000000"/>
                <w:sz w:val="23"/>
              </w:rPr>
            </w:pPr>
            <w:r>
              <w:rPr>
                <w:rFonts w:ascii="Arial" w:eastAsia="Arial" w:hAnsi="Arial"/>
                <w:color w:val="000000"/>
                <w:sz w:val="23"/>
              </w:rPr>
              <w:t>601</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88" w:after="66"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88" w:after="66" w:line="258" w:lineRule="exact"/>
              <w:ind w:right="29"/>
              <w:jc w:val="right"/>
              <w:textAlignment w:val="baseline"/>
              <w:rPr>
                <w:rFonts w:ascii="Arial" w:eastAsia="Arial" w:hAnsi="Arial"/>
                <w:color w:val="000000"/>
                <w:sz w:val="23"/>
              </w:rPr>
            </w:pPr>
            <w:r>
              <w:rPr>
                <w:rFonts w:ascii="Arial" w:eastAsia="Arial" w:hAnsi="Arial"/>
                <w:color w:val="000000"/>
                <w:sz w:val="23"/>
              </w:rPr>
              <w:t>871</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88" w:after="66" w:line="258" w:lineRule="exact"/>
              <w:ind w:right="1627"/>
              <w:jc w:val="right"/>
              <w:textAlignment w:val="baseline"/>
              <w:rPr>
                <w:rFonts w:ascii="Arial" w:eastAsia="Arial" w:hAnsi="Arial"/>
                <w:color w:val="000000"/>
                <w:sz w:val="23"/>
              </w:rPr>
            </w:pPr>
            <w:r>
              <w:rPr>
                <w:rFonts w:ascii="Arial" w:eastAsia="Arial" w:hAnsi="Arial"/>
                <w:color w:val="000000"/>
                <w:sz w:val="23"/>
              </w:rPr>
              <w:t>700</w:t>
            </w:r>
          </w:p>
        </w:tc>
      </w:tr>
      <w:tr w:rsidR="00CD33AE" w:rsidTr="005C2702">
        <w:tblPrEx>
          <w:tblCellMar>
            <w:top w:w="0" w:type="dxa"/>
            <w:bottom w:w="0" w:type="dxa"/>
          </w:tblCellMar>
        </w:tblPrEx>
        <w:trPr>
          <w:trHeight w:hRule="exact" w:val="417"/>
        </w:trPr>
        <w:tc>
          <w:tcPr>
            <w:tcW w:w="1814"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74" w:after="80"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79" w:after="75" w:line="258" w:lineRule="exact"/>
              <w:ind w:right="29"/>
              <w:jc w:val="right"/>
              <w:textAlignment w:val="baseline"/>
              <w:rPr>
                <w:rFonts w:ascii="Arial" w:eastAsia="Arial" w:hAnsi="Arial"/>
                <w:color w:val="000000"/>
                <w:sz w:val="23"/>
              </w:rPr>
            </w:pPr>
            <w:r>
              <w:rPr>
                <w:rFonts w:ascii="Arial" w:eastAsia="Arial" w:hAnsi="Arial"/>
                <w:color w:val="000000"/>
                <w:sz w:val="23"/>
              </w:rPr>
              <w:t>866</w:t>
            </w:r>
          </w:p>
        </w:tc>
        <w:tc>
          <w:tcPr>
            <w:tcW w:w="2064"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79" w:after="75" w:line="258" w:lineRule="exact"/>
              <w:ind w:right="1642"/>
              <w:jc w:val="right"/>
              <w:textAlignment w:val="baseline"/>
              <w:rPr>
                <w:rFonts w:ascii="Arial" w:eastAsia="Arial" w:hAnsi="Arial"/>
                <w:color w:val="000000"/>
                <w:sz w:val="23"/>
              </w:rPr>
            </w:pPr>
            <w:r>
              <w:rPr>
                <w:rFonts w:ascii="Arial" w:eastAsia="Arial" w:hAnsi="Arial"/>
                <w:color w:val="000000"/>
                <w:sz w:val="23"/>
              </w:rPr>
              <w:t>183</w:t>
            </w:r>
          </w:p>
        </w:tc>
        <w:tc>
          <w:tcPr>
            <w:tcW w:w="1742" w:type="dxa"/>
            <w:tcBorders>
              <w:top w:val="single" w:sz="4" w:space="0" w:color="000000"/>
              <w:left w:val="single" w:sz="4" w:space="0" w:color="000000"/>
              <w:bottom w:val="single" w:sz="4" w:space="0" w:color="000000"/>
              <w:right w:val="none" w:sz="0" w:space="0" w:color="000000"/>
            </w:tcBorders>
            <w:vAlign w:val="center"/>
          </w:tcPr>
          <w:p w:rsidR="00CD33AE" w:rsidRDefault="00CD33AE" w:rsidP="005C2702">
            <w:pPr>
              <w:spacing w:before="79" w:after="75" w:line="258" w:lineRule="exact"/>
              <w:ind w:right="43"/>
              <w:jc w:val="right"/>
              <w:textAlignment w:val="baseline"/>
              <w:rPr>
                <w:rFonts w:ascii="Arial" w:eastAsia="Arial" w:hAnsi="Arial"/>
                <w:color w:val="000000"/>
                <w:sz w:val="23"/>
              </w:rPr>
            </w:pPr>
            <w:r>
              <w:rPr>
                <w:rFonts w:ascii="Arial" w:eastAsia="Arial" w:hAnsi="Arial"/>
                <w:color w:val="000000"/>
                <w:sz w:val="23"/>
              </w:rPr>
              <w:t>1</w:t>
            </w:r>
          </w:p>
        </w:tc>
        <w:tc>
          <w:tcPr>
            <w:tcW w:w="471" w:type="dxa"/>
            <w:tcBorders>
              <w:top w:val="single" w:sz="4" w:space="0" w:color="000000"/>
              <w:left w:val="none" w:sz="0" w:space="0" w:color="000000"/>
              <w:bottom w:val="single" w:sz="4" w:space="0" w:color="000000"/>
              <w:right w:val="none" w:sz="0" w:space="0" w:color="000000"/>
            </w:tcBorders>
            <w:vAlign w:val="center"/>
          </w:tcPr>
          <w:p w:rsidR="00CD33AE" w:rsidRDefault="00CD33AE" w:rsidP="005C2702">
            <w:pPr>
              <w:spacing w:before="79" w:after="75" w:line="258" w:lineRule="exact"/>
              <w:ind w:right="29"/>
              <w:jc w:val="right"/>
              <w:textAlignment w:val="baseline"/>
              <w:rPr>
                <w:rFonts w:ascii="Arial" w:eastAsia="Arial" w:hAnsi="Arial"/>
                <w:color w:val="000000"/>
                <w:sz w:val="23"/>
              </w:rPr>
            </w:pPr>
            <w:r>
              <w:rPr>
                <w:rFonts w:ascii="Arial" w:eastAsia="Arial" w:hAnsi="Arial"/>
                <w:color w:val="000000"/>
                <w:sz w:val="23"/>
              </w:rPr>
              <w:t>899</w:t>
            </w:r>
          </w:p>
        </w:tc>
        <w:tc>
          <w:tcPr>
            <w:tcW w:w="2049" w:type="dxa"/>
            <w:tcBorders>
              <w:top w:val="single" w:sz="4" w:space="0" w:color="000000"/>
              <w:left w:val="none" w:sz="0" w:space="0" w:color="000000"/>
              <w:bottom w:val="single" w:sz="4" w:space="0" w:color="000000"/>
              <w:right w:val="single" w:sz="4" w:space="0" w:color="000000"/>
            </w:tcBorders>
            <w:vAlign w:val="center"/>
          </w:tcPr>
          <w:p w:rsidR="00CD33AE" w:rsidRDefault="00CD33AE" w:rsidP="005C2702">
            <w:pPr>
              <w:spacing w:before="79" w:after="75" w:line="258" w:lineRule="exact"/>
              <w:ind w:right="1627"/>
              <w:jc w:val="right"/>
              <w:textAlignment w:val="baseline"/>
              <w:rPr>
                <w:rFonts w:ascii="Arial" w:eastAsia="Arial" w:hAnsi="Arial"/>
                <w:color w:val="000000"/>
                <w:sz w:val="23"/>
              </w:rPr>
            </w:pPr>
            <w:r>
              <w:rPr>
                <w:rFonts w:ascii="Arial" w:eastAsia="Arial" w:hAnsi="Arial"/>
                <w:color w:val="000000"/>
                <w:sz w:val="23"/>
              </w:rPr>
              <w:t>771</w:t>
            </w:r>
          </w:p>
        </w:tc>
      </w:tr>
    </w:tbl>
    <w:p w:rsidR="00CD33AE" w:rsidRDefault="00CD33AE" w:rsidP="005450F6">
      <w:pPr>
        <w:tabs>
          <w:tab w:val="left" w:pos="7545"/>
        </w:tabs>
        <w:spacing w:before="100" w:beforeAutospacing="1" w:after="100" w:afterAutospacing="1" w:line="276" w:lineRule="auto"/>
        <w:jc w:val="both"/>
        <w:rPr>
          <w:rFonts w:ascii="Arial" w:hAnsi="Arial" w:cs="Arial"/>
          <w:b/>
          <w:lang w:val="en-ZA"/>
        </w:rPr>
      </w:pPr>
    </w:p>
    <w:p w:rsidR="00CD33AE" w:rsidRDefault="00CD33AE" w:rsidP="00040AD8">
      <w:pPr>
        <w:spacing w:line="295" w:lineRule="exact"/>
        <w:ind w:left="720" w:right="72" w:hanging="720"/>
        <w:jc w:val="both"/>
        <w:textAlignment w:val="baseline"/>
        <w:rPr>
          <w:rFonts w:ascii="Arial" w:eastAsia="Arial" w:hAnsi="Arial"/>
          <w:color w:val="000000"/>
          <w:sz w:val="23"/>
        </w:rPr>
      </w:pPr>
      <w:r>
        <w:rPr>
          <w:rFonts w:ascii="Arial" w:eastAsia="Arial" w:hAnsi="Arial"/>
          <w:color w:val="000000"/>
          <w:sz w:val="23"/>
        </w:rPr>
        <w:t xml:space="preserve">(4) </w:t>
      </w:r>
      <w:r w:rsidR="00040AD8">
        <w:rPr>
          <w:rFonts w:ascii="Arial" w:eastAsia="Arial" w:hAnsi="Arial"/>
          <w:color w:val="000000"/>
          <w:sz w:val="23"/>
        </w:rPr>
        <w:t xml:space="preserve"> </w:t>
      </w:r>
      <w:r w:rsidR="00040AD8">
        <w:rPr>
          <w:rFonts w:ascii="Arial" w:eastAsia="Arial" w:hAnsi="Arial"/>
          <w:color w:val="000000"/>
          <w:sz w:val="23"/>
        </w:rPr>
        <w:tab/>
      </w:r>
      <w:r>
        <w:rPr>
          <w:rFonts w:ascii="Arial" w:eastAsia="Arial" w:hAnsi="Arial"/>
          <w:color w:val="000000"/>
          <w:sz w:val="23"/>
        </w:rPr>
        <w:t>No additional incentives are payable to employees possessing identified critical or scarce skills. Special salary dispensations, called Occupation Specific Dispensations (OSDs), have been implemented for identified occupations to stimulate recruitment and retention of personnel in these occupations. The following OSDs have been implemented in the Public Service:</w:t>
      </w:r>
    </w:p>
    <w:p w:rsidR="00CD33AE" w:rsidRDefault="00CD33AE" w:rsidP="00CD33AE">
      <w:pPr>
        <w:numPr>
          <w:ilvl w:val="0"/>
          <w:numId w:val="9"/>
        </w:numPr>
        <w:tabs>
          <w:tab w:val="clear" w:pos="576"/>
          <w:tab w:val="left" w:pos="1296"/>
        </w:tabs>
        <w:spacing w:before="311" w:line="284" w:lineRule="exact"/>
        <w:ind w:left="1296" w:hanging="576"/>
        <w:textAlignment w:val="baseline"/>
        <w:rPr>
          <w:rFonts w:ascii="Arial" w:eastAsia="Arial" w:hAnsi="Arial"/>
          <w:color w:val="000000"/>
          <w:sz w:val="23"/>
        </w:rPr>
      </w:pPr>
      <w:r>
        <w:rPr>
          <w:rFonts w:ascii="Arial" w:eastAsia="Arial" w:hAnsi="Arial"/>
          <w:color w:val="000000"/>
          <w:sz w:val="23"/>
        </w:rPr>
        <w:t>Legally qualified personnel;</w:t>
      </w:r>
    </w:p>
    <w:p w:rsidR="00CD33AE" w:rsidRDefault="00CD33AE" w:rsidP="00CD33AE">
      <w:pPr>
        <w:numPr>
          <w:ilvl w:val="0"/>
          <w:numId w:val="9"/>
        </w:numPr>
        <w:tabs>
          <w:tab w:val="clear" w:pos="576"/>
          <w:tab w:val="left" w:pos="1296"/>
        </w:tabs>
        <w:spacing w:before="351" w:line="282" w:lineRule="exact"/>
        <w:ind w:left="1296" w:hanging="576"/>
        <w:textAlignment w:val="baseline"/>
        <w:rPr>
          <w:rFonts w:ascii="Arial" w:eastAsia="Arial" w:hAnsi="Arial"/>
          <w:color w:val="000000"/>
          <w:spacing w:val="1"/>
          <w:sz w:val="23"/>
        </w:rPr>
      </w:pPr>
      <w:r>
        <w:rPr>
          <w:rFonts w:ascii="Arial" w:eastAsia="Arial" w:hAnsi="Arial"/>
          <w:color w:val="000000"/>
          <w:spacing w:val="1"/>
          <w:sz w:val="23"/>
        </w:rPr>
        <w:t>Engineers, Technicians, Technologists and Artisans and related occupations;</w:t>
      </w:r>
    </w:p>
    <w:p w:rsidR="00CD33AE" w:rsidRDefault="00CD33AE" w:rsidP="00CD33AE">
      <w:pPr>
        <w:numPr>
          <w:ilvl w:val="0"/>
          <w:numId w:val="9"/>
        </w:numPr>
        <w:tabs>
          <w:tab w:val="clear" w:pos="576"/>
          <w:tab w:val="left" w:pos="1296"/>
        </w:tabs>
        <w:spacing w:before="344" w:line="281" w:lineRule="exact"/>
        <w:ind w:left="1296" w:hanging="576"/>
        <w:textAlignment w:val="baseline"/>
        <w:rPr>
          <w:rFonts w:ascii="Arial" w:eastAsia="Arial" w:hAnsi="Arial"/>
          <w:color w:val="000000"/>
          <w:sz w:val="23"/>
        </w:rPr>
      </w:pPr>
      <w:r>
        <w:rPr>
          <w:rFonts w:ascii="Arial" w:eastAsia="Arial" w:hAnsi="Arial"/>
          <w:color w:val="000000"/>
          <w:sz w:val="23"/>
        </w:rPr>
        <w:t>Nursing personnel;</w:t>
      </w:r>
    </w:p>
    <w:p w:rsidR="00CD33AE" w:rsidRDefault="00CD33AE" w:rsidP="00CD33AE">
      <w:pPr>
        <w:numPr>
          <w:ilvl w:val="0"/>
          <w:numId w:val="9"/>
        </w:numPr>
        <w:tabs>
          <w:tab w:val="clear" w:pos="576"/>
          <w:tab w:val="left" w:pos="1296"/>
        </w:tabs>
        <w:spacing w:before="331" w:line="304" w:lineRule="exact"/>
        <w:ind w:left="1296" w:right="72" w:hanging="576"/>
        <w:jc w:val="both"/>
        <w:textAlignment w:val="baseline"/>
        <w:rPr>
          <w:rFonts w:ascii="Arial" w:eastAsia="Arial" w:hAnsi="Arial"/>
          <w:color w:val="000000"/>
          <w:sz w:val="23"/>
        </w:rPr>
      </w:pPr>
      <w:r>
        <w:rPr>
          <w:rFonts w:ascii="Arial" w:eastAsia="Arial" w:hAnsi="Arial"/>
          <w:color w:val="000000"/>
          <w:sz w:val="23"/>
        </w:rPr>
        <w:t>Medical Officers, Medical Specialists, Dentists, Dental Specialists, Pharmacologists, Pharmacists and Emergency Care Practitioners, Therapeutic, Diagnostic and related Allied Health Professionals;</w:t>
      </w:r>
    </w:p>
    <w:p w:rsidR="00CD33AE" w:rsidRDefault="00CD33AE" w:rsidP="00CD33AE">
      <w:pPr>
        <w:numPr>
          <w:ilvl w:val="0"/>
          <w:numId w:val="9"/>
        </w:numPr>
        <w:tabs>
          <w:tab w:val="clear" w:pos="576"/>
          <w:tab w:val="left" w:pos="1296"/>
        </w:tabs>
        <w:spacing w:before="349" w:line="281" w:lineRule="exact"/>
        <w:ind w:left="1296" w:hanging="576"/>
        <w:jc w:val="both"/>
        <w:textAlignment w:val="baseline"/>
        <w:rPr>
          <w:rFonts w:ascii="Arial" w:eastAsia="Arial" w:hAnsi="Arial"/>
          <w:color w:val="000000"/>
          <w:sz w:val="23"/>
        </w:rPr>
      </w:pPr>
      <w:r>
        <w:rPr>
          <w:rFonts w:ascii="Arial" w:eastAsia="Arial" w:hAnsi="Arial"/>
          <w:color w:val="000000"/>
          <w:sz w:val="23"/>
        </w:rPr>
        <w:t>Correctional Services Officers;</w:t>
      </w:r>
    </w:p>
    <w:p w:rsidR="00CD33AE" w:rsidRDefault="00CD33AE" w:rsidP="00CD33AE">
      <w:pPr>
        <w:numPr>
          <w:ilvl w:val="0"/>
          <w:numId w:val="9"/>
        </w:numPr>
        <w:tabs>
          <w:tab w:val="clear" w:pos="576"/>
          <w:tab w:val="left" w:pos="1296"/>
        </w:tabs>
        <w:spacing w:before="347" w:line="281" w:lineRule="exact"/>
        <w:ind w:left="1296" w:hanging="576"/>
        <w:jc w:val="both"/>
        <w:textAlignment w:val="baseline"/>
        <w:rPr>
          <w:rFonts w:ascii="Arial" w:eastAsia="Arial" w:hAnsi="Arial"/>
          <w:color w:val="000000"/>
          <w:spacing w:val="-2"/>
          <w:sz w:val="23"/>
        </w:rPr>
      </w:pPr>
      <w:r>
        <w:rPr>
          <w:rFonts w:ascii="Arial" w:eastAsia="Arial" w:hAnsi="Arial"/>
          <w:color w:val="000000"/>
          <w:spacing w:val="-2"/>
          <w:sz w:val="23"/>
        </w:rPr>
        <w:t>Educators; and</w:t>
      </w:r>
    </w:p>
    <w:p w:rsidR="00CD33AE" w:rsidRDefault="00CD33AE" w:rsidP="00CD33AE">
      <w:pPr>
        <w:numPr>
          <w:ilvl w:val="0"/>
          <w:numId w:val="9"/>
        </w:numPr>
        <w:tabs>
          <w:tab w:val="clear" w:pos="576"/>
          <w:tab w:val="left" w:pos="1296"/>
        </w:tabs>
        <w:spacing w:before="353" w:line="281" w:lineRule="exact"/>
        <w:ind w:left="1296" w:hanging="576"/>
        <w:jc w:val="both"/>
        <w:textAlignment w:val="baseline"/>
        <w:rPr>
          <w:rFonts w:ascii="Arial" w:eastAsia="Arial" w:hAnsi="Arial"/>
          <w:color w:val="000000"/>
          <w:sz w:val="23"/>
        </w:rPr>
      </w:pPr>
      <w:r>
        <w:rPr>
          <w:rFonts w:ascii="Arial" w:eastAsia="Arial" w:hAnsi="Arial"/>
          <w:color w:val="000000"/>
          <w:sz w:val="23"/>
        </w:rPr>
        <w:t>Educators in the Department of Correctional services.</w:t>
      </w:r>
    </w:p>
    <w:p w:rsidR="00CD33AE" w:rsidRPr="00F45438" w:rsidRDefault="00CD33AE" w:rsidP="005450F6">
      <w:pPr>
        <w:tabs>
          <w:tab w:val="left" w:pos="7545"/>
        </w:tabs>
        <w:spacing w:before="100" w:beforeAutospacing="1" w:after="100" w:afterAutospacing="1" w:line="276" w:lineRule="auto"/>
        <w:jc w:val="both"/>
        <w:rPr>
          <w:rFonts w:ascii="Arial" w:hAnsi="Arial" w:cs="Arial"/>
          <w:b/>
          <w:lang w:val="en-ZA"/>
        </w:rPr>
      </w:pPr>
    </w:p>
    <w:sectPr w:rsidR="00CD33AE" w:rsidRPr="00F45438"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3E" w:rsidRDefault="00856B3E">
      <w:r>
        <w:separator/>
      </w:r>
    </w:p>
  </w:endnote>
  <w:endnote w:type="continuationSeparator" w:id="0">
    <w:p w:rsidR="00856B3E" w:rsidRDefault="00856B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D8" w:rsidRDefault="00F368D8">
    <w:pPr>
      <w:pStyle w:val="Footer"/>
      <w:jc w:val="right"/>
    </w:pPr>
    <w:r>
      <w:t xml:space="preserve">Page </w:t>
    </w:r>
    <w:r>
      <w:rPr>
        <w:b/>
        <w:bCs/>
      </w:rPr>
      <w:fldChar w:fldCharType="begin"/>
    </w:r>
    <w:r>
      <w:rPr>
        <w:b/>
        <w:bCs/>
      </w:rPr>
      <w:instrText xml:space="preserve"> PAGE </w:instrText>
    </w:r>
    <w:r>
      <w:rPr>
        <w:b/>
        <w:bCs/>
      </w:rPr>
      <w:fldChar w:fldCharType="separate"/>
    </w:r>
    <w:r w:rsidR="00955A2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955A2E">
      <w:rPr>
        <w:b/>
        <w:bCs/>
        <w:noProof/>
      </w:rPr>
      <w:t>3</w:t>
    </w:r>
    <w:r>
      <w:rPr>
        <w:b/>
        <w:bCs/>
      </w:rPr>
      <w:fldChar w:fldCharType="end"/>
    </w:r>
  </w:p>
  <w:p w:rsidR="0072142B" w:rsidRPr="0039423E" w:rsidRDefault="0072142B" w:rsidP="0072142B">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8C1D33" w:rsidRDefault="0066183B" w:rsidP="008C1D33">
    <w:pPr>
      <w:pStyle w:val="Footer"/>
    </w:pPr>
    <w:r w:rsidRPr="008C1D3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3E" w:rsidRDefault="00856B3E">
      <w:r>
        <w:separator/>
      </w:r>
    </w:p>
  </w:footnote>
  <w:footnote w:type="continuationSeparator" w:id="0">
    <w:p w:rsidR="00856B3E" w:rsidRDefault="00856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6FD"/>
    <w:multiLevelType w:val="multilevel"/>
    <w:tmpl w:val="9A9CEBE2"/>
    <w:lvl w:ilvl="0">
      <w:start w:val="1"/>
      <w:numFmt w:val="decimal"/>
      <w:lvlText w:val="(%1)"/>
      <w:lvlJc w:val="left"/>
      <w:pPr>
        <w:tabs>
          <w:tab w:val="left" w:pos="648"/>
        </w:tabs>
        <w:ind w:left="720"/>
      </w:pPr>
      <w:rPr>
        <w:rFonts w:ascii="Arial" w:eastAsia="Arial" w:hAnsi="Aria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A526498"/>
    <w:multiLevelType w:val="multilevel"/>
    <w:tmpl w:val="E4A06088"/>
    <w:lvl w:ilvl="0">
      <w:start w:val="1"/>
      <w:numFmt w:val="bullet"/>
      <w:lvlText w:val="·"/>
      <w:lvlJc w:val="left"/>
      <w:pPr>
        <w:tabs>
          <w:tab w:val="left" w:pos="576"/>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891B75"/>
    <w:multiLevelType w:val="multilevel"/>
    <w:tmpl w:val="397CCB1E"/>
    <w:lvl w:ilvl="0">
      <w:start w:val="1"/>
      <w:numFmt w:val="lowerRoman"/>
      <w:lvlText w:val="(%1)"/>
      <w:lvlJc w:val="left"/>
      <w:pPr>
        <w:tabs>
          <w:tab w:val="left" w:pos="2160"/>
        </w:tabs>
        <w:ind w:left="2304"/>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40AD8"/>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E0D95"/>
    <w:rsid w:val="001F7080"/>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1121"/>
    <w:rsid w:val="00435FEA"/>
    <w:rsid w:val="0045003C"/>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EA4"/>
    <w:rsid w:val="00591B49"/>
    <w:rsid w:val="00593E40"/>
    <w:rsid w:val="005975FE"/>
    <w:rsid w:val="005B0C33"/>
    <w:rsid w:val="005C2702"/>
    <w:rsid w:val="005D5448"/>
    <w:rsid w:val="005E1E92"/>
    <w:rsid w:val="005F0736"/>
    <w:rsid w:val="005F1512"/>
    <w:rsid w:val="006163C2"/>
    <w:rsid w:val="0061719E"/>
    <w:rsid w:val="00617849"/>
    <w:rsid w:val="00621486"/>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3B3"/>
    <w:rsid w:val="00786E18"/>
    <w:rsid w:val="00794504"/>
    <w:rsid w:val="007A3CF9"/>
    <w:rsid w:val="007B2B03"/>
    <w:rsid w:val="007C6706"/>
    <w:rsid w:val="007F0DC6"/>
    <w:rsid w:val="00811AA5"/>
    <w:rsid w:val="008123E9"/>
    <w:rsid w:val="00825A9B"/>
    <w:rsid w:val="008312F6"/>
    <w:rsid w:val="0084716C"/>
    <w:rsid w:val="00851106"/>
    <w:rsid w:val="00853808"/>
    <w:rsid w:val="00856B3E"/>
    <w:rsid w:val="008662B7"/>
    <w:rsid w:val="00877C40"/>
    <w:rsid w:val="00892247"/>
    <w:rsid w:val="008A593D"/>
    <w:rsid w:val="008A60EC"/>
    <w:rsid w:val="008B39C7"/>
    <w:rsid w:val="008C1D33"/>
    <w:rsid w:val="008C284A"/>
    <w:rsid w:val="008D12CF"/>
    <w:rsid w:val="008E42C8"/>
    <w:rsid w:val="008E4ECE"/>
    <w:rsid w:val="008E5FF5"/>
    <w:rsid w:val="008F29A1"/>
    <w:rsid w:val="00906716"/>
    <w:rsid w:val="009073FC"/>
    <w:rsid w:val="009148C5"/>
    <w:rsid w:val="00936D26"/>
    <w:rsid w:val="009410F4"/>
    <w:rsid w:val="00945680"/>
    <w:rsid w:val="00955A2E"/>
    <w:rsid w:val="00960CFF"/>
    <w:rsid w:val="00961D75"/>
    <w:rsid w:val="0096273C"/>
    <w:rsid w:val="00966E5A"/>
    <w:rsid w:val="00984C68"/>
    <w:rsid w:val="00993FD3"/>
    <w:rsid w:val="009A2780"/>
    <w:rsid w:val="009B42E4"/>
    <w:rsid w:val="009C18C8"/>
    <w:rsid w:val="00A0326A"/>
    <w:rsid w:val="00A11497"/>
    <w:rsid w:val="00A14834"/>
    <w:rsid w:val="00A250F5"/>
    <w:rsid w:val="00A27D6C"/>
    <w:rsid w:val="00A35A9D"/>
    <w:rsid w:val="00A430B6"/>
    <w:rsid w:val="00A62CD4"/>
    <w:rsid w:val="00A64AA5"/>
    <w:rsid w:val="00A727DC"/>
    <w:rsid w:val="00AA65D6"/>
    <w:rsid w:val="00AA777C"/>
    <w:rsid w:val="00AB0890"/>
    <w:rsid w:val="00AB0CAB"/>
    <w:rsid w:val="00AD2EFD"/>
    <w:rsid w:val="00AE1A6B"/>
    <w:rsid w:val="00B13267"/>
    <w:rsid w:val="00B3002A"/>
    <w:rsid w:val="00B31933"/>
    <w:rsid w:val="00B366BD"/>
    <w:rsid w:val="00B66676"/>
    <w:rsid w:val="00B81207"/>
    <w:rsid w:val="00BA1F25"/>
    <w:rsid w:val="00BA7B88"/>
    <w:rsid w:val="00BC69E2"/>
    <w:rsid w:val="00BD33FC"/>
    <w:rsid w:val="00BE14EA"/>
    <w:rsid w:val="00C007DD"/>
    <w:rsid w:val="00C27D2F"/>
    <w:rsid w:val="00C77CBB"/>
    <w:rsid w:val="00CB53A4"/>
    <w:rsid w:val="00CB5A7E"/>
    <w:rsid w:val="00CC0E45"/>
    <w:rsid w:val="00CD33AE"/>
    <w:rsid w:val="00CF40C2"/>
    <w:rsid w:val="00CF4CF3"/>
    <w:rsid w:val="00D24D11"/>
    <w:rsid w:val="00D27283"/>
    <w:rsid w:val="00D27D47"/>
    <w:rsid w:val="00D30C68"/>
    <w:rsid w:val="00D66467"/>
    <w:rsid w:val="00DD1BD0"/>
    <w:rsid w:val="00DD515B"/>
    <w:rsid w:val="00DD708B"/>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368D8"/>
    <w:rsid w:val="00F42909"/>
    <w:rsid w:val="00F43C45"/>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2016-06-01T10:01:00Z</dcterms:created>
  <dcterms:modified xsi:type="dcterms:W3CDTF">2016-06-01T10:01:00Z</dcterms:modified>
</cp:coreProperties>
</file>