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bookmarkStart w:id="0" w:name="_GoBack"/>
      <w:bookmarkEnd w:id="0"/>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987C9F" w:rsidRDefault="008960B2" w:rsidP="007074B6">
      <w:pPr>
        <w:ind w:left="284"/>
        <w:jc w:val="center"/>
        <w:rPr>
          <w:rFonts w:ascii="Tahoma" w:hAnsi="Tahoma" w:cs="Tahoma"/>
          <w:b/>
          <w:bCs/>
          <w:sz w:val="22"/>
          <w:szCs w:val="22"/>
          <w:lang w:val="en-ZA"/>
        </w:rPr>
      </w:pPr>
      <w:r w:rsidRPr="00987C9F">
        <w:rPr>
          <w:rFonts w:ascii="Tahoma" w:hAnsi="Tahoma" w:cs="Tahoma"/>
          <w:b/>
          <w:bCs/>
          <w:sz w:val="22"/>
          <w:szCs w:val="22"/>
          <w:lang w:val="en-ZA"/>
        </w:rPr>
        <w:t>QUESTION FOR REPLY</w:t>
      </w:r>
    </w:p>
    <w:p w:rsidR="008960B2" w:rsidRPr="00987C9F" w:rsidRDefault="008960B2" w:rsidP="007074B6">
      <w:pPr>
        <w:ind w:left="284"/>
        <w:jc w:val="center"/>
        <w:rPr>
          <w:rFonts w:ascii="Tahoma" w:hAnsi="Tahoma" w:cs="Tahoma"/>
          <w:b/>
          <w:bCs/>
          <w:sz w:val="22"/>
          <w:szCs w:val="22"/>
          <w:lang w:val="en-ZA"/>
        </w:rPr>
      </w:pPr>
    </w:p>
    <w:p w:rsidR="006512FA" w:rsidRDefault="008960B2" w:rsidP="007074B6">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8D24A4">
        <w:rPr>
          <w:rFonts w:ascii="Tahoma" w:hAnsi="Tahoma" w:cs="Tahoma"/>
          <w:b/>
          <w:bCs/>
          <w:sz w:val="22"/>
          <w:szCs w:val="22"/>
          <w:lang w:val="en-ZA"/>
        </w:rPr>
        <w:t>755</w:t>
      </w:r>
    </w:p>
    <w:p w:rsidR="008960B2" w:rsidRPr="00987C9F" w:rsidRDefault="008960B2" w:rsidP="008F1057">
      <w:pPr>
        <w:ind w:left="284"/>
        <w:rPr>
          <w:rFonts w:ascii="Tahoma" w:hAnsi="Tahoma" w:cs="Tahoma"/>
          <w:b/>
          <w:bCs/>
          <w:sz w:val="22"/>
          <w:szCs w:val="22"/>
          <w:lang w:val="en-ZA"/>
        </w:rPr>
      </w:pPr>
    </w:p>
    <w:p w:rsidR="000C4309" w:rsidRPr="008D62F8" w:rsidRDefault="007F3FBA" w:rsidP="00F679C6">
      <w:pPr>
        <w:autoSpaceDE w:val="0"/>
        <w:autoSpaceDN w:val="0"/>
        <w:adjustRightInd w:val="0"/>
        <w:spacing w:before="240" w:after="240" w:line="276" w:lineRule="auto"/>
        <w:ind w:firstLine="284"/>
        <w:rPr>
          <w:rFonts w:ascii="Arial" w:hAnsi="Arial" w:cs="Arial"/>
          <w:bCs/>
          <w:sz w:val="22"/>
          <w:szCs w:val="22"/>
        </w:rPr>
      </w:pPr>
      <w:r w:rsidRPr="007F3FBA">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left:0;text-align:left;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r9hgpwIAAEkGAAAQAAAAZHJzL2lu&#10;ay9pbmsxLnhtbKRUXWvbMBR9H+w/CPVhL5EtybLlhKZ96FoYrDDWDLZH11ETU38EW/nov9+R7Dop&#10;S2FsmFiWdM+55x5d5fL6UJVkZ9quaOo5FQGnxNR5syzq1Zz+WNyxlJLOZvUyK5vazOmL6ej11ccP&#10;l0X9XJUzvAkY6s59VeWcrq3dzMJwv98H+yho2lUoOY/CL/Xz/Vd6NaCW5qmoC4uU3etS3tTWHKwj&#10;mxXLOc3tgY/x4H5otm1uxm230ubHCNtmublr2iqzI+M6q2tTkjqroPsnJfZlg48CeVampaTKDnOq&#10;+DSmZAsxHXJWNDyP/vVf6MV5tAyE0iq9nY4ClmbnFITey9n7NX1rm41pbWGO9vXFDhsvJO/nvu7e&#10;gNZ0Tbl1nlOyy8otrBDxNIiiNJajABGe8eBPUtjxLqlMVRDpo6l/SQmP3qUUJ/reWjSUeerHYN7Y&#10;Mq8HaovKoJGrzdhDtkOzu+UH2/p2l1xGjEsm1IJPZ1zNZBwkMjk5kqFLXzkf2223Hvke22M/+p3R&#10;uL6yfbG069F8HnCepkfrT40/h16bYrW2/wzPm7JB0w8nf3H7WdxIdWz3cxmfCrtobrbtzow4ceKF&#10;h4zNeuZK+/4lg2XfzdOcXvhbTTyyX/CeSS0IJ3zyibtnQjkekUywxPqBiLif+YFgkcmUCPz4JGZJ&#10;6sJEQkSEOU6PJJFDMGwzjFLg7UEJizVCNOIdRIPCB2qilItkmmhAQaaYAgp5NEu4i9EsQmN4UoCQ&#10;RhOJDYTGxJMileOdcKY8AAE+O7j75NAVeU7NFMQjPYroEbLXq0k0pHAUnlp5C8AFDiQXTE19iNPf&#10;CyWRr4UTz8kZWrhX4RGAe9lQNYT3hEkfDotGK8AXTzCHK7CORb4a1O/LBd7Jf/PXNJ497trVbwA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NOv2GC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0C4309" w:rsidRPr="008D62F8">
        <w:rPr>
          <w:rFonts w:ascii="Arial" w:hAnsi="Arial" w:cs="Arial"/>
          <w:b/>
          <w:sz w:val="22"/>
          <w:szCs w:val="22"/>
          <w:u w:val="single"/>
        </w:rPr>
        <w:t>QUESTION</w:t>
      </w:r>
      <w:r w:rsidR="000C4309" w:rsidRPr="008D62F8">
        <w:rPr>
          <w:rFonts w:ascii="Arial" w:hAnsi="Arial" w:cs="Arial"/>
          <w:bCs/>
          <w:sz w:val="22"/>
          <w:szCs w:val="22"/>
        </w:rPr>
        <w:t>:</w:t>
      </w:r>
    </w:p>
    <w:p w:rsidR="008D24A4" w:rsidRPr="00F679C6" w:rsidRDefault="008D24A4" w:rsidP="00F679C6">
      <w:pPr>
        <w:spacing w:line="360" w:lineRule="auto"/>
        <w:ind w:left="284"/>
        <w:rPr>
          <w:rFonts w:ascii="Calibri" w:eastAsia="Calibri" w:hAnsi="Calibri" w:cs="Calibri"/>
          <w:sz w:val="22"/>
          <w:szCs w:val="22"/>
          <w:lang w:val="en-ZA"/>
        </w:rPr>
      </w:pPr>
      <w:r w:rsidRPr="00F679C6">
        <w:rPr>
          <w:rFonts w:ascii="Arial" w:eastAsia="Calibri" w:hAnsi="Arial" w:cs="Arial"/>
          <w:b/>
          <w:bCs/>
          <w:sz w:val="22"/>
          <w:szCs w:val="22"/>
          <w:lang w:val="en-ZA"/>
        </w:rPr>
        <w:t xml:space="preserve">Mr G K Y </w:t>
      </w:r>
      <w:proofErr w:type="spellStart"/>
      <w:r w:rsidRPr="00F679C6">
        <w:rPr>
          <w:rFonts w:ascii="Arial" w:eastAsia="Calibri" w:hAnsi="Arial" w:cs="Arial"/>
          <w:b/>
          <w:bCs/>
          <w:sz w:val="22"/>
          <w:szCs w:val="22"/>
          <w:lang w:val="en-ZA"/>
        </w:rPr>
        <w:t>Cachalia</w:t>
      </w:r>
      <w:proofErr w:type="spellEnd"/>
      <w:r w:rsidRPr="00F679C6">
        <w:rPr>
          <w:rFonts w:ascii="Arial" w:eastAsia="Calibri" w:hAnsi="Arial" w:cs="Arial"/>
          <w:b/>
          <w:bCs/>
          <w:sz w:val="22"/>
          <w:szCs w:val="22"/>
          <w:lang w:val="en-ZA"/>
        </w:rPr>
        <w:t xml:space="preserve"> (DA) to ask the Minister of Public Enterprises:</w:t>
      </w:r>
      <w:r w:rsidRPr="00F679C6">
        <w:rPr>
          <w:rFonts w:ascii="Calibri" w:eastAsia="Calibri" w:hAnsi="Calibri" w:cs="Calibri"/>
          <w:sz w:val="22"/>
          <w:szCs w:val="22"/>
          <w:lang w:val="en-ZA"/>
        </w:rPr>
        <w:br/>
      </w:r>
      <w:r w:rsidRPr="00F679C6">
        <w:rPr>
          <w:rFonts w:ascii="Arial" w:eastAsia="Calibri" w:hAnsi="Arial" w:cs="Arial"/>
          <w:sz w:val="22"/>
          <w:szCs w:val="22"/>
          <w:lang w:val="en-ZA"/>
        </w:rPr>
        <w:t xml:space="preserve">Whether, considering that during the presentation of the Budget Speech on 22 February 2023, the Minister of Finance, Mr Enoch </w:t>
      </w:r>
      <w:proofErr w:type="spellStart"/>
      <w:r w:rsidRPr="00F679C6">
        <w:rPr>
          <w:rFonts w:ascii="Arial" w:eastAsia="Calibri" w:hAnsi="Arial" w:cs="Arial"/>
          <w:sz w:val="22"/>
          <w:szCs w:val="22"/>
          <w:lang w:val="en-ZA"/>
        </w:rPr>
        <w:t>Godongwana</w:t>
      </w:r>
      <w:proofErr w:type="spellEnd"/>
      <w:r w:rsidRPr="00F679C6">
        <w:rPr>
          <w:rFonts w:ascii="Arial" w:eastAsia="Calibri" w:hAnsi="Arial" w:cs="Arial"/>
          <w:sz w:val="22"/>
          <w:szCs w:val="22"/>
          <w:lang w:val="en-ZA"/>
        </w:rPr>
        <w:t xml:space="preserve">, indicated that the National Treasury has commissioned an independent assessment of Eskom’s operations, he, in his capacity as the sole shareholder for the Government in </w:t>
      </w:r>
      <w:proofErr w:type="gramStart"/>
      <w:r w:rsidRPr="00F679C6">
        <w:rPr>
          <w:rFonts w:ascii="Arial" w:eastAsia="Calibri" w:hAnsi="Arial" w:cs="Arial"/>
          <w:sz w:val="22"/>
          <w:szCs w:val="22"/>
          <w:lang w:val="en-ZA"/>
        </w:rPr>
        <w:t>Eskom,</w:t>
      </w:r>
      <w:proofErr w:type="gramEnd"/>
      <w:r w:rsidRPr="00F679C6">
        <w:rPr>
          <w:rFonts w:ascii="Arial" w:eastAsia="Calibri" w:hAnsi="Arial" w:cs="Arial"/>
          <w:sz w:val="22"/>
          <w:szCs w:val="22"/>
          <w:lang w:val="en-ZA"/>
        </w:rPr>
        <w:t xml:space="preserve"> has been informed of the terms of reference of the specified inquiry; if not, why not; if so, what are the relevant details? </w:t>
      </w:r>
      <w:r w:rsidRPr="00F679C6">
        <w:rPr>
          <w:rFonts w:ascii="Arial" w:eastAsia="Calibri" w:hAnsi="Arial" w:cs="Arial"/>
          <w:b/>
          <w:bCs/>
          <w:sz w:val="22"/>
          <w:szCs w:val="22"/>
          <w:lang w:val="en-ZA"/>
        </w:rPr>
        <w:t>NW854E</w:t>
      </w:r>
    </w:p>
    <w:p w:rsidR="008D24A4" w:rsidRPr="00F679C6" w:rsidRDefault="008D24A4" w:rsidP="008D24A4">
      <w:pPr>
        <w:spacing w:line="276" w:lineRule="auto"/>
        <w:rPr>
          <w:rFonts w:ascii="Calibri" w:eastAsia="Calibri" w:hAnsi="Calibri" w:cs="Calibri"/>
          <w:sz w:val="22"/>
          <w:szCs w:val="22"/>
        </w:rPr>
      </w:pPr>
    </w:p>
    <w:p w:rsidR="000C4309" w:rsidRPr="00F679C6" w:rsidRDefault="000C4309" w:rsidP="00F679C6">
      <w:pPr>
        <w:widowControl w:val="0"/>
        <w:suppressAutoHyphens/>
        <w:spacing w:line="276" w:lineRule="auto"/>
        <w:ind w:firstLine="284"/>
        <w:jc w:val="both"/>
        <w:rPr>
          <w:rFonts w:ascii="Arial" w:hAnsi="Arial" w:cs="Arial"/>
          <w:b/>
          <w:sz w:val="22"/>
          <w:szCs w:val="22"/>
          <w:u w:val="single"/>
        </w:rPr>
      </w:pPr>
      <w:r w:rsidRPr="00F679C6">
        <w:rPr>
          <w:rFonts w:ascii="Arial" w:hAnsi="Arial" w:cs="Arial"/>
          <w:b/>
          <w:sz w:val="22"/>
          <w:szCs w:val="22"/>
          <w:u w:val="single"/>
        </w:rPr>
        <w:t>REPLY</w:t>
      </w:r>
      <w:r w:rsidR="00C05636">
        <w:rPr>
          <w:rFonts w:ascii="Arial" w:hAnsi="Arial" w:cs="Arial"/>
          <w:b/>
          <w:sz w:val="22"/>
          <w:szCs w:val="22"/>
          <w:u w:val="single"/>
        </w:rPr>
        <w:t>:</w:t>
      </w:r>
    </w:p>
    <w:p w:rsidR="000C4309" w:rsidRPr="00F679C6" w:rsidRDefault="000C4309" w:rsidP="000C4309">
      <w:pPr>
        <w:spacing w:line="276" w:lineRule="auto"/>
        <w:rPr>
          <w:sz w:val="22"/>
          <w:szCs w:val="22"/>
        </w:rPr>
      </w:pPr>
    </w:p>
    <w:p w:rsidR="000C4309" w:rsidRPr="00F679C6" w:rsidRDefault="00104108" w:rsidP="00F679C6">
      <w:pPr>
        <w:autoSpaceDE w:val="0"/>
        <w:autoSpaceDN w:val="0"/>
        <w:adjustRightInd w:val="0"/>
        <w:spacing w:line="360" w:lineRule="auto"/>
        <w:ind w:left="284"/>
        <w:jc w:val="both"/>
        <w:rPr>
          <w:rFonts w:ascii="Arial" w:hAnsi="Arial" w:cs="Arial"/>
          <w:sz w:val="22"/>
          <w:szCs w:val="22"/>
        </w:rPr>
      </w:pPr>
      <w:r w:rsidRPr="00F679C6">
        <w:rPr>
          <w:rFonts w:ascii="Arial" w:hAnsi="Arial" w:cs="Arial"/>
          <w:sz w:val="22"/>
          <w:szCs w:val="22"/>
        </w:rPr>
        <w:t>The key objective of the study is to provide National Treasury with independent advisory services on the operational challenges impacting on the appropriate interventions that will turn around the operations of the entity. The servi</w:t>
      </w:r>
      <w:r w:rsidR="00975363" w:rsidRPr="00F679C6">
        <w:rPr>
          <w:rFonts w:ascii="Arial" w:hAnsi="Arial" w:cs="Arial"/>
          <w:sz w:val="22"/>
          <w:szCs w:val="22"/>
        </w:rPr>
        <w:t>c</w:t>
      </w:r>
      <w:r w:rsidRPr="00F679C6">
        <w:rPr>
          <w:rFonts w:ascii="Arial" w:hAnsi="Arial" w:cs="Arial"/>
          <w:sz w:val="22"/>
          <w:szCs w:val="22"/>
        </w:rPr>
        <w:t xml:space="preserve">e provider </w:t>
      </w:r>
      <w:r w:rsidR="00975363" w:rsidRPr="00F679C6">
        <w:rPr>
          <w:rFonts w:ascii="Arial" w:hAnsi="Arial" w:cs="Arial"/>
          <w:sz w:val="22"/>
          <w:szCs w:val="22"/>
        </w:rPr>
        <w:t>“</w:t>
      </w:r>
      <w:r w:rsidRPr="00F679C6">
        <w:rPr>
          <w:rFonts w:ascii="Arial" w:hAnsi="Arial" w:cs="Arial"/>
          <w:sz w:val="22"/>
          <w:szCs w:val="22"/>
        </w:rPr>
        <w:t xml:space="preserve">will be reviewing and advising on the operational challenges </w:t>
      </w:r>
      <w:r w:rsidR="00975363" w:rsidRPr="00F679C6">
        <w:rPr>
          <w:rFonts w:ascii="Arial" w:hAnsi="Arial" w:cs="Arial"/>
          <w:sz w:val="22"/>
          <w:szCs w:val="22"/>
        </w:rPr>
        <w:t xml:space="preserve">being experienced at the existing power plant level, appropriateness and effectiveness of maintenance regime being implemented, the level capital expenditure required for the existing power plants”. </w:t>
      </w:r>
      <w:r w:rsidR="00F60FD4" w:rsidRPr="00F679C6">
        <w:rPr>
          <w:rFonts w:ascii="Arial" w:hAnsi="Arial" w:cs="Arial"/>
          <w:sz w:val="22"/>
          <w:szCs w:val="22"/>
        </w:rPr>
        <w:t xml:space="preserve">The service provider will be required to visit all the power plants in the Eskom network and engage with various divisions within Eskom and the Department of Public Enterprises. </w:t>
      </w:r>
    </w:p>
    <w:p w:rsidR="000C4309" w:rsidRDefault="000C4309" w:rsidP="000C4309">
      <w:pPr>
        <w:autoSpaceDE w:val="0"/>
        <w:autoSpaceDN w:val="0"/>
        <w:adjustRightInd w:val="0"/>
        <w:jc w:val="both"/>
        <w:rPr>
          <w:rFonts w:ascii="Arial" w:hAnsi="Arial" w:cs="Arial"/>
          <w:sz w:val="22"/>
          <w:szCs w:val="22"/>
          <w:lang w:eastAsia="en-ZA"/>
        </w:rPr>
      </w:pPr>
    </w:p>
    <w:p w:rsidR="007074B6" w:rsidRDefault="00F679C6" w:rsidP="00F679C6">
      <w:pPr>
        <w:ind w:firstLine="142"/>
        <w:rPr>
          <w:rFonts w:ascii="Arial" w:hAnsi="Arial" w:cs="Arial"/>
          <w:b/>
          <w:bCs/>
          <w:lang w:val="en-ZA"/>
        </w:rPr>
      </w:pPr>
      <w:r>
        <w:rPr>
          <w:rFonts w:ascii="Arial" w:hAnsi="Arial" w:cs="Arial"/>
          <w:b/>
          <w:bCs/>
          <w:lang w:val="en-ZA"/>
        </w:rPr>
        <w:t xml:space="preserve">  </w:t>
      </w:r>
    </w:p>
    <w:p w:rsidR="00E575C0" w:rsidRPr="00522234" w:rsidRDefault="00E575C0" w:rsidP="00F679C6">
      <w:pPr>
        <w:ind w:firstLine="142"/>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575F22">
        <w:rPr>
          <w:rFonts w:ascii="Arial" w:hAnsi="Arial" w:cs="Arial"/>
          <w:b/>
          <w:bCs/>
          <w:lang w:val="en-ZA"/>
        </w:rPr>
        <w:tab/>
      </w:r>
      <w:r w:rsidR="00575F22">
        <w:rPr>
          <w:rFonts w:ascii="Arial" w:hAnsi="Arial" w:cs="Arial"/>
          <w:b/>
          <w:bCs/>
          <w:lang w:val="en-ZA"/>
        </w:rPr>
        <w:tab/>
      </w:r>
      <w:r w:rsidRPr="00522234">
        <w:rPr>
          <w:rFonts w:ascii="Arial" w:hAnsi="Arial" w:cs="Arial"/>
          <w:b/>
          <w:bCs/>
          <w:lang w:val="en-ZA"/>
        </w:rPr>
        <w:t xml:space="preserve">Reply: </w:t>
      </w:r>
      <w:r w:rsidRPr="007074B6">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E575C0" w:rsidRDefault="00E575C0" w:rsidP="008F1057">
      <w:pPr>
        <w:ind w:left="284"/>
        <w:rPr>
          <w:rFonts w:ascii="Arial" w:hAnsi="Arial" w:cs="Arial"/>
          <w:b/>
          <w:bCs/>
          <w:lang w:val="en-ZA"/>
        </w:rPr>
      </w:pPr>
    </w:p>
    <w:p w:rsidR="00F679C6" w:rsidRPr="00522234" w:rsidRDefault="00F679C6" w:rsidP="008F1057">
      <w:pPr>
        <w:ind w:left="284"/>
        <w:rPr>
          <w:rFonts w:ascii="Arial" w:hAnsi="Arial" w:cs="Arial"/>
          <w:b/>
          <w:bCs/>
          <w:lang w:val="en-ZA"/>
        </w:rPr>
      </w:pPr>
    </w:p>
    <w:p w:rsidR="00E575C0" w:rsidRPr="00522234" w:rsidRDefault="00F679C6" w:rsidP="005F5BDB">
      <w:pPr>
        <w:contextualSpacing/>
        <w:rPr>
          <w:rFonts w:ascii="Arial" w:hAnsi="Arial" w:cs="Arial"/>
          <w:b/>
          <w:bCs/>
          <w:lang w:val="en-ZA"/>
        </w:rPr>
      </w:pPr>
      <w:r>
        <w:rPr>
          <w:rFonts w:ascii="Arial" w:hAnsi="Arial" w:cs="Arial"/>
          <w:b/>
          <w:bCs/>
          <w:lang w:val="en-ZA"/>
        </w:rPr>
        <w:t xml:space="preserve">  </w:t>
      </w:r>
      <w:r w:rsidR="000C4309">
        <w:rPr>
          <w:rFonts w:ascii="Arial" w:hAnsi="Arial" w:cs="Arial"/>
          <w:b/>
          <w:bCs/>
          <w:lang w:val="en-ZA"/>
        </w:rPr>
        <w:t xml:space="preserve">Jacky </w:t>
      </w:r>
      <w:proofErr w:type="spellStart"/>
      <w:r w:rsidR="000C4309">
        <w:rPr>
          <w:rFonts w:ascii="Arial" w:hAnsi="Arial" w:cs="Arial"/>
          <w:b/>
          <w:bCs/>
          <w:lang w:val="en-ZA"/>
        </w:rPr>
        <w:t>Molisane</w:t>
      </w:r>
      <w:proofErr w:type="spellEnd"/>
      <w:r w:rsidR="000C4309">
        <w:rPr>
          <w:rFonts w:ascii="Arial" w:hAnsi="Arial" w:cs="Arial"/>
          <w:b/>
          <w:bCs/>
          <w:lang w:val="en-ZA"/>
        </w:rPr>
        <w:tab/>
      </w:r>
      <w:r w:rsidR="000C4309">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sidR="000C4309">
        <w:rPr>
          <w:rFonts w:ascii="Arial" w:hAnsi="Arial" w:cs="Arial"/>
          <w:b/>
          <w:bCs/>
          <w:lang w:val="en-ZA"/>
        </w:rPr>
        <w:tab/>
      </w:r>
      <w:proofErr w:type="spellStart"/>
      <w:r w:rsidR="00E575C0">
        <w:rPr>
          <w:rFonts w:ascii="Arial" w:hAnsi="Arial" w:cs="Arial"/>
          <w:b/>
          <w:bCs/>
          <w:lang w:val="en-ZA"/>
        </w:rPr>
        <w:t>Pravin</w:t>
      </w:r>
      <w:proofErr w:type="spellEnd"/>
      <w:r w:rsidR="00E575C0">
        <w:rPr>
          <w:rFonts w:ascii="Arial" w:hAnsi="Arial" w:cs="Arial"/>
          <w:b/>
          <w:bCs/>
          <w:lang w:val="en-ZA"/>
        </w:rPr>
        <w:t xml:space="preserve">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F679C6" w:rsidP="005F5BDB">
      <w:pPr>
        <w:contextualSpacing/>
        <w:rPr>
          <w:rFonts w:ascii="Arial" w:hAnsi="Arial" w:cs="Arial"/>
          <w:b/>
          <w:bCs/>
          <w:lang w:val="en-ZA"/>
        </w:rPr>
      </w:pPr>
      <w:r>
        <w:rPr>
          <w:rFonts w:ascii="Arial" w:hAnsi="Arial" w:cs="Arial"/>
          <w:b/>
          <w:bCs/>
          <w:lang w:val="en-ZA"/>
        </w:rPr>
        <w:t xml:space="preserve">  </w:t>
      </w:r>
      <w:r w:rsidR="000C4309">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sidR="000C4309">
        <w:rPr>
          <w:rFonts w:ascii="Arial" w:hAnsi="Arial" w:cs="Arial"/>
          <w:b/>
          <w:bCs/>
          <w:lang w:val="en-ZA"/>
        </w:rPr>
        <w:tab/>
      </w:r>
      <w:r w:rsidR="005F5BDB">
        <w:rPr>
          <w:rFonts w:ascii="Arial" w:hAnsi="Arial" w:cs="Arial"/>
          <w:b/>
          <w:bCs/>
          <w:lang w:val="en-ZA"/>
        </w:rPr>
        <w:tab/>
      </w:r>
      <w:r w:rsidR="00E575C0" w:rsidRPr="00522234">
        <w:rPr>
          <w:rFonts w:ascii="Arial" w:hAnsi="Arial" w:cs="Arial"/>
          <w:b/>
          <w:bCs/>
          <w:lang w:val="en-ZA"/>
        </w:rPr>
        <w:t>Minister of Public Enterprises</w:t>
      </w:r>
    </w:p>
    <w:p w:rsidR="009F4B23" w:rsidRPr="009F4B23" w:rsidRDefault="00F679C6" w:rsidP="005F5BDB">
      <w:pPr>
        <w:contextualSpacing/>
        <w:rPr>
          <w:rFonts w:ascii="Arial" w:hAnsi="Arial" w:cs="Arial"/>
          <w:b/>
          <w:bCs/>
          <w:lang w:val="en-ZA"/>
        </w:rPr>
      </w:pPr>
      <w:r>
        <w:rPr>
          <w:rFonts w:ascii="Arial" w:hAnsi="Arial" w:cs="Arial"/>
          <w:b/>
          <w:bCs/>
          <w:lang w:val="en-ZA"/>
        </w:rPr>
        <w:t xml:space="preserve">  </w:t>
      </w:r>
      <w:r w:rsidR="00E575C0" w:rsidRPr="00522234">
        <w:rPr>
          <w:rFonts w:ascii="Arial" w:hAnsi="Arial" w:cs="Arial"/>
          <w:b/>
          <w:bCs/>
          <w:lang w:val="en-ZA"/>
        </w:rPr>
        <w:t>Date:</w:t>
      </w:r>
      <w:r w:rsidR="00E575C0" w:rsidRPr="00522234">
        <w:rPr>
          <w:rFonts w:ascii="Arial" w:hAnsi="Arial" w:cs="Arial"/>
          <w:b/>
          <w:bCs/>
          <w:lang w:val="en-ZA"/>
        </w:rPr>
        <w:tab/>
      </w:r>
      <w:r w:rsidR="00E575C0" w:rsidRPr="00522234">
        <w:rPr>
          <w:rFonts w:ascii="Arial" w:hAnsi="Arial" w:cs="Arial"/>
          <w:b/>
          <w:bCs/>
          <w:lang w:val="en-ZA"/>
        </w:rPr>
        <w:tab/>
      </w:r>
      <w:r w:rsidR="00E575C0" w:rsidRPr="00522234">
        <w:rPr>
          <w:rFonts w:ascii="Arial" w:hAnsi="Arial" w:cs="Arial"/>
          <w:b/>
          <w:bCs/>
          <w:lang w:val="en-ZA"/>
        </w:rPr>
        <w:tab/>
      </w:r>
      <w:r w:rsidR="00E575C0" w:rsidRPr="00522234">
        <w:rPr>
          <w:rFonts w:ascii="Arial" w:hAnsi="Arial" w:cs="Arial"/>
          <w:b/>
          <w:bCs/>
          <w:lang w:val="en-ZA"/>
        </w:rPr>
        <w:tab/>
      </w:r>
      <w:r w:rsidR="00E575C0" w:rsidRPr="00522234">
        <w:rPr>
          <w:rFonts w:ascii="Arial" w:hAnsi="Arial" w:cs="Arial"/>
          <w:b/>
          <w:bCs/>
          <w:lang w:val="en-ZA"/>
        </w:rPr>
        <w:tab/>
      </w:r>
      <w:r w:rsidR="000C4309">
        <w:rPr>
          <w:rFonts w:ascii="Arial" w:hAnsi="Arial" w:cs="Arial"/>
          <w:b/>
          <w:bCs/>
          <w:lang w:val="en-ZA"/>
        </w:rPr>
        <w:tab/>
      </w:r>
      <w:r w:rsidR="000C4309">
        <w:rPr>
          <w:rFonts w:ascii="Arial" w:hAnsi="Arial" w:cs="Arial"/>
          <w:b/>
          <w:bCs/>
          <w:lang w:val="en-ZA"/>
        </w:rPr>
        <w:tab/>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194" w:rsidRDefault="006F5194" w:rsidP="006A43DE">
      <w:r>
        <w:separator/>
      </w:r>
    </w:p>
  </w:endnote>
  <w:endnote w:type="continuationSeparator" w:id="0">
    <w:p w:rsidR="006F5194" w:rsidRDefault="006F5194"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194" w:rsidRDefault="006F5194" w:rsidP="006A43DE">
      <w:r>
        <w:separator/>
      </w:r>
    </w:p>
  </w:footnote>
  <w:footnote w:type="continuationSeparator" w:id="0">
    <w:p w:rsidR="006F5194" w:rsidRDefault="006F5194"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7">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0">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13"/>
  </w:num>
  <w:num w:numId="3">
    <w:abstractNumId w:val="4"/>
  </w:num>
  <w:num w:numId="4">
    <w:abstractNumId w:val="10"/>
  </w:num>
  <w:num w:numId="5">
    <w:abstractNumId w:val="11"/>
  </w:num>
  <w:num w:numId="6">
    <w:abstractNumId w:val="0"/>
  </w:num>
  <w:num w:numId="7">
    <w:abstractNumId w:val="7"/>
  </w:num>
  <w:num w:numId="8">
    <w:abstractNumId w:val="9"/>
  </w:num>
  <w:num w:numId="9">
    <w:abstractNumId w:val="1"/>
  </w:num>
  <w:num w:numId="10">
    <w:abstractNumId w:val="2"/>
  </w:num>
  <w:num w:numId="11">
    <w:abstractNumId w:val="3"/>
  </w:num>
  <w:num w:numId="12">
    <w:abstractNumId w:val="6"/>
  </w:num>
  <w:num w:numId="13">
    <w:abstractNumId w:val="12"/>
  </w:num>
  <w:num w:numId="1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90AD5"/>
    <w:rsid w:val="000B6791"/>
    <w:rsid w:val="000B75A2"/>
    <w:rsid w:val="000C4309"/>
    <w:rsid w:val="000C4756"/>
    <w:rsid w:val="000C48EB"/>
    <w:rsid w:val="000F6FB5"/>
    <w:rsid w:val="000F7318"/>
    <w:rsid w:val="00104108"/>
    <w:rsid w:val="00107E40"/>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518F"/>
    <w:rsid w:val="005703CE"/>
    <w:rsid w:val="00575F22"/>
    <w:rsid w:val="005B2A1A"/>
    <w:rsid w:val="005C2884"/>
    <w:rsid w:val="005C28EA"/>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194"/>
    <w:rsid w:val="006F5FEE"/>
    <w:rsid w:val="007074B6"/>
    <w:rsid w:val="00711E1F"/>
    <w:rsid w:val="00715184"/>
    <w:rsid w:val="00716A5F"/>
    <w:rsid w:val="00735AB2"/>
    <w:rsid w:val="007410D8"/>
    <w:rsid w:val="00741768"/>
    <w:rsid w:val="00752B07"/>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B5AF0"/>
    <w:rsid w:val="007C43A8"/>
    <w:rsid w:val="007C48D9"/>
    <w:rsid w:val="007F2BDB"/>
    <w:rsid w:val="007F3FBA"/>
    <w:rsid w:val="00815368"/>
    <w:rsid w:val="00817F1E"/>
    <w:rsid w:val="00824E8E"/>
    <w:rsid w:val="00887188"/>
    <w:rsid w:val="0089120C"/>
    <w:rsid w:val="00892DE3"/>
    <w:rsid w:val="00892DFB"/>
    <w:rsid w:val="008960B2"/>
    <w:rsid w:val="008968F5"/>
    <w:rsid w:val="008A5641"/>
    <w:rsid w:val="008B5545"/>
    <w:rsid w:val="008C3840"/>
    <w:rsid w:val="008C4B6D"/>
    <w:rsid w:val="008D24A4"/>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251C"/>
    <w:rsid w:val="009632E6"/>
    <w:rsid w:val="00972069"/>
    <w:rsid w:val="00975363"/>
    <w:rsid w:val="009A53BF"/>
    <w:rsid w:val="009B4F7B"/>
    <w:rsid w:val="009B5AB4"/>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C1FF1"/>
    <w:rsid w:val="00AD433D"/>
    <w:rsid w:val="00AE07A0"/>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05636"/>
    <w:rsid w:val="00C11460"/>
    <w:rsid w:val="00C12A29"/>
    <w:rsid w:val="00C154E7"/>
    <w:rsid w:val="00C239C5"/>
    <w:rsid w:val="00C254E6"/>
    <w:rsid w:val="00C376CE"/>
    <w:rsid w:val="00C46606"/>
    <w:rsid w:val="00C53F6B"/>
    <w:rsid w:val="00C6140B"/>
    <w:rsid w:val="00C65732"/>
    <w:rsid w:val="00C71A4E"/>
    <w:rsid w:val="00C7276E"/>
    <w:rsid w:val="00C73A1D"/>
    <w:rsid w:val="00C76C58"/>
    <w:rsid w:val="00C8563D"/>
    <w:rsid w:val="00C943CB"/>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3650"/>
    <w:rsid w:val="00D45A7B"/>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07B7"/>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31673"/>
    <w:rsid w:val="00F31D7B"/>
    <w:rsid w:val="00F34711"/>
    <w:rsid w:val="00F40076"/>
    <w:rsid w:val="00F45181"/>
    <w:rsid w:val="00F60FD4"/>
    <w:rsid w:val="00F62BDA"/>
    <w:rsid w:val="00F63886"/>
    <w:rsid w:val="00F651DA"/>
    <w:rsid w:val="00F679C6"/>
    <w:rsid w:val="00F7162E"/>
    <w:rsid w:val="00F77706"/>
    <w:rsid w:val="00F861E9"/>
    <w:rsid w:val="00F90558"/>
    <w:rsid w:val="00F9084E"/>
    <w:rsid w:val="00F94AFA"/>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BA"/>
    <w:rPr>
      <w:sz w:val="24"/>
      <w:szCs w:val="24"/>
    </w:rPr>
  </w:style>
  <w:style w:type="paragraph" w:styleId="Heading1">
    <w:name w:val="heading 1"/>
    <w:basedOn w:val="Normal"/>
    <w:next w:val="Normal"/>
    <w:qFormat/>
    <w:rsid w:val="007F3FBA"/>
    <w:pPr>
      <w:keepNext/>
      <w:spacing w:line="312" w:lineRule="auto"/>
      <w:ind w:left="540"/>
      <w:outlineLvl w:val="0"/>
    </w:pPr>
    <w:rPr>
      <w:rFonts w:ascii="Arial" w:hAnsi="Arial" w:cs="Arial"/>
      <w:b/>
      <w:bCs/>
    </w:rPr>
  </w:style>
  <w:style w:type="paragraph" w:styleId="Heading2">
    <w:name w:val="heading 2"/>
    <w:basedOn w:val="Normal"/>
    <w:next w:val="Normal"/>
    <w:qFormat/>
    <w:rsid w:val="007F3FBA"/>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7F3FBA"/>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7F3FBA"/>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7F3FBA"/>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598487603">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44EF-3E31-4B4A-8BCD-D4942C0E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1526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2023-04-05T11:17:00Z</cp:lastPrinted>
  <dcterms:created xsi:type="dcterms:W3CDTF">2023-04-26T09:22:00Z</dcterms:created>
  <dcterms:modified xsi:type="dcterms:W3CDTF">2023-04-26T09:22:00Z</dcterms:modified>
</cp:coreProperties>
</file>