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32" w:rsidRPr="001B0917" w:rsidRDefault="00E3513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E35132" w:rsidRPr="001B0917" w:rsidRDefault="00E3513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E35132" w:rsidRPr="00CE2B5C" w:rsidRDefault="00E3513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CE2B5C">
        <w:rPr>
          <w:rFonts w:ascii="Arial" w:hAnsi="Arial" w:cs="Arial"/>
          <w:b/>
          <w:sz w:val="22"/>
          <w:szCs w:val="22"/>
        </w:rPr>
        <w:t>741 [NW859E]</w:t>
      </w:r>
    </w:p>
    <w:p w:rsidR="00E35132" w:rsidRPr="00CE2B5C" w:rsidRDefault="00E35132" w:rsidP="001B0917">
      <w:pPr>
        <w:tabs>
          <w:tab w:val="left" w:pos="432"/>
          <w:tab w:val="left" w:pos="864"/>
        </w:tabs>
        <w:spacing w:line="276" w:lineRule="auto"/>
        <w:jc w:val="center"/>
        <w:rPr>
          <w:rFonts w:ascii="Arial" w:hAnsi="Arial" w:cs="Arial"/>
          <w:b/>
          <w:sz w:val="22"/>
          <w:szCs w:val="22"/>
        </w:rPr>
      </w:pPr>
      <w:r w:rsidRPr="00CE2B5C">
        <w:rPr>
          <w:rFonts w:ascii="Arial" w:hAnsi="Arial" w:cs="Arial"/>
          <w:b/>
          <w:sz w:val="22"/>
          <w:szCs w:val="22"/>
        </w:rPr>
        <w:t>DATE OF PUBLICATION: 18 MARCH 2016</w:t>
      </w:r>
    </w:p>
    <w:p w:rsidR="00E35132" w:rsidRPr="00CE2B5C" w:rsidRDefault="00E35132" w:rsidP="00CE2B5C">
      <w:pPr>
        <w:pStyle w:val="BodyTextIndent"/>
        <w:spacing w:line="276" w:lineRule="auto"/>
        <w:ind w:left="0" w:firstLine="0"/>
        <w:rPr>
          <w:rFonts w:ascii="Arial" w:hAnsi="Arial" w:cs="Arial"/>
          <w:b/>
          <w:sz w:val="22"/>
          <w:szCs w:val="22"/>
        </w:rPr>
      </w:pPr>
    </w:p>
    <w:p w:rsidR="00E35132" w:rsidRPr="00CE2B5C" w:rsidRDefault="00E35132" w:rsidP="00CE2B5C">
      <w:pPr>
        <w:spacing w:before="100" w:beforeAutospacing="1" w:after="100" w:afterAutospacing="1" w:line="276" w:lineRule="auto"/>
        <w:ind w:left="851" w:hanging="709"/>
        <w:jc w:val="both"/>
        <w:outlineLvl w:val="0"/>
        <w:rPr>
          <w:rFonts w:ascii="Arial" w:hAnsi="Arial" w:cs="Arial"/>
          <w:b/>
          <w:sz w:val="22"/>
          <w:szCs w:val="22"/>
          <w:lang w:val="af-ZA"/>
        </w:rPr>
      </w:pPr>
      <w:bookmarkStart w:id="0" w:name="_GoBack"/>
      <w:bookmarkEnd w:id="0"/>
      <w:r w:rsidRPr="00CE2B5C">
        <w:rPr>
          <w:rFonts w:ascii="Arial" w:hAnsi="Arial" w:cs="Arial"/>
          <w:b/>
          <w:sz w:val="22"/>
          <w:szCs w:val="22"/>
          <w:lang w:val="af-ZA"/>
        </w:rPr>
        <w:t>741.</w:t>
      </w:r>
      <w:r w:rsidRPr="00CE2B5C">
        <w:rPr>
          <w:rFonts w:ascii="Arial" w:hAnsi="Arial" w:cs="Arial"/>
          <w:b/>
          <w:sz w:val="22"/>
          <w:szCs w:val="22"/>
          <w:lang w:val="af-ZA"/>
        </w:rPr>
        <w:tab/>
        <w:t>Mr M G P Lekota (Cope) to ask the Minister of Finance:</w:t>
      </w:r>
    </w:p>
    <w:p w:rsidR="00E35132" w:rsidRDefault="00E35132" w:rsidP="00CE2B5C">
      <w:pPr>
        <w:spacing w:before="100" w:beforeAutospacing="1" w:after="100" w:afterAutospacing="1" w:line="276" w:lineRule="auto"/>
        <w:jc w:val="both"/>
        <w:rPr>
          <w:rFonts w:ascii="Arial" w:hAnsi="Arial" w:cs="Arial"/>
          <w:sz w:val="22"/>
          <w:szCs w:val="22"/>
          <w:lang w:val="af-ZA"/>
        </w:rPr>
      </w:pPr>
      <w:r w:rsidRPr="00CE2B5C">
        <w:rPr>
          <w:rFonts w:ascii="Arial" w:hAnsi="Arial" w:cs="Arial"/>
          <w:sz w:val="22"/>
          <w:szCs w:val="22"/>
          <w:lang w:val="af-ZA"/>
        </w:rPr>
        <w:t xml:space="preserve">Whether the Government has (a) curtailed its consumption spending which in the 2014-15 financial year accounted for 56% of consolidated non-interest expenditure in order to create fiscal space to sustain investment in </w:t>
      </w:r>
      <w:r w:rsidRPr="00CE2B5C">
        <w:rPr>
          <w:rFonts w:ascii="Arial" w:hAnsi="Arial" w:cs="Arial"/>
          <w:color w:val="000000"/>
          <w:sz w:val="22"/>
          <w:szCs w:val="22"/>
          <w:lang w:val="af-ZA"/>
        </w:rPr>
        <w:t>infrastructure</w:t>
      </w:r>
      <w:r w:rsidRPr="00CE2B5C">
        <w:rPr>
          <w:rFonts w:ascii="Arial" w:hAnsi="Arial" w:cs="Arial"/>
          <w:sz w:val="22"/>
          <w:szCs w:val="22"/>
          <w:lang w:val="af-ZA"/>
        </w:rPr>
        <w:t xml:space="preserve"> and to reduce the country’s reliance on foreign savings and (b) created a large number of significant partnerships that have drawn substantial private capital into public sector infrastructure projects during the period 1 January 2014 to 28 February 2016; if not, what is the position in this regard; if so, what are the relevant details?</w:t>
      </w:r>
      <w:r w:rsidRPr="00CE2B5C">
        <w:rPr>
          <w:rFonts w:ascii="Arial" w:hAnsi="Arial" w:cs="Arial"/>
          <w:sz w:val="22"/>
          <w:szCs w:val="22"/>
          <w:lang w:val="af-ZA"/>
        </w:rPr>
        <w:tab/>
      </w:r>
    </w:p>
    <w:p w:rsidR="00E35132" w:rsidRPr="00CE2B5C" w:rsidRDefault="00E35132" w:rsidP="00CE2B5C">
      <w:pPr>
        <w:spacing w:before="100" w:beforeAutospacing="1" w:after="100" w:afterAutospacing="1" w:line="276" w:lineRule="auto"/>
        <w:ind w:left="6480" w:firstLine="720"/>
        <w:jc w:val="both"/>
        <w:rPr>
          <w:rFonts w:ascii="Arial" w:hAnsi="Arial" w:cs="Arial"/>
          <w:sz w:val="22"/>
          <w:szCs w:val="22"/>
          <w:lang w:val="af-ZA"/>
        </w:rPr>
      </w:pPr>
      <w:r w:rsidRPr="00CE2B5C">
        <w:rPr>
          <w:rFonts w:ascii="Arial" w:hAnsi="Arial" w:cs="Arial"/>
          <w:sz w:val="22"/>
          <w:szCs w:val="22"/>
          <w:lang w:val="af-ZA"/>
        </w:rPr>
        <w:t>NW859E</w:t>
      </w:r>
    </w:p>
    <w:p w:rsidR="00E35132" w:rsidRPr="001B0917" w:rsidRDefault="00E35132"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E35132" w:rsidRDefault="00E35132" w:rsidP="00391379">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Between </w:t>
      </w:r>
      <w:r w:rsidRPr="00485EB8">
        <w:rPr>
          <w:rFonts w:ascii="Arial" w:hAnsi="Arial" w:cs="Arial"/>
          <w:sz w:val="22"/>
          <w:szCs w:val="22"/>
        </w:rPr>
        <w:t xml:space="preserve">2008/09 </w:t>
      </w:r>
      <w:r>
        <w:rPr>
          <w:rFonts w:ascii="Arial" w:hAnsi="Arial" w:cs="Arial"/>
          <w:sz w:val="22"/>
          <w:szCs w:val="22"/>
        </w:rPr>
        <w:t>and</w:t>
      </w:r>
      <w:r w:rsidRPr="00485EB8">
        <w:rPr>
          <w:rFonts w:ascii="Arial" w:hAnsi="Arial" w:cs="Arial"/>
          <w:sz w:val="22"/>
          <w:szCs w:val="22"/>
        </w:rPr>
        <w:t xml:space="preserve"> 2011/12</w:t>
      </w:r>
      <w:r>
        <w:rPr>
          <w:rFonts w:ascii="Arial" w:hAnsi="Arial" w:cs="Arial"/>
          <w:sz w:val="22"/>
          <w:szCs w:val="22"/>
        </w:rPr>
        <w:t>, compensation and goods and services budgets grew in r</w:t>
      </w:r>
      <w:r w:rsidRPr="00485EB8">
        <w:rPr>
          <w:rFonts w:ascii="Arial" w:hAnsi="Arial" w:cs="Arial"/>
          <w:sz w:val="22"/>
          <w:szCs w:val="22"/>
        </w:rPr>
        <w:t xml:space="preserve">eal </w:t>
      </w:r>
      <w:r>
        <w:rPr>
          <w:rFonts w:ascii="Arial" w:hAnsi="Arial" w:cs="Arial"/>
          <w:sz w:val="22"/>
          <w:szCs w:val="22"/>
        </w:rPr>
        <w:t>terms by</w:t>
      </w:r>
      <w:r w:rsidRPr="00485EB8">
        <w:rPr>
          <w:rFonts w:ascii="Arial" w:hAnsi="Arial" w:cs="Arial"/>
          <w:sz w:val="22"/>
          <w:szCs w:val="22"/>
        </w:rPr>
        <w:t xml:space="preserve"> 8.4 per cent</w:t>
      </w:r>
      <w:r>
        <w:rPr>
          <w:rFonts w:ascii="Arial" w:hAnsi="Arial" w:cs="Arial"/>
          <w:sz w:val="22"/>
          <w:szCs w:val="22"/>
        </w:rPr>
        <w:t xml:space="preserve"> and </w:t>
      </w:r>
      <w:r w:rsidRPr="00485EB8">
        <w:rPr>
          <w:rFonts w:ascii="Arial" w:hAnsi="Arial" w:cs="Arial"/>
          <w:sz w:val="22"/>
          <w:szCs w:val="22"/>
        </w:rPr>
        <w:t>5.1 per cent</w:t>
      </w:r>
      <w:r>
        <w:rPr>
          <w:rFonts w:ascii="Arial" w:hAnsi="Arial" w:cs="Arial"/>
          <w:sz w:val="22"/>
          <w:szCs w:val="22"/>
        </w:rPr>
        <w:t xml:space="preserve"> respectively. After the</w:t>
      </w:r>
      <w:r w:rsidRPr="007F297C">
        <w:rPr>
          <w:rFonts w:ascii="Arial" w:hAnsi="Arial" w:cs="Arial"/>
          <w:sz w:val="22"/>
          <w:szCs w:val="22"/>
        </w:rPr>
        <w:t xml:space="preserve"> </w:t>
      </w:r>
      <w:r>
        <w:rPr>
          <w:rFonts w:ascii="Arial" w:hAnsi="Arial" w:cs="Arial"/>
          <w:sz w:val="22"/>
          <w:szCs w:val="22"/>
        </w:rPr>
        <w:t xml:space="preserve">introduction of the expenditure ceiling in 2012, real spending on compensation of employees averaged 2.5 per cent over the period 2012/13 – 2015/16 and is projected to fall to 1.1 per cent real growth over the 2016 MTEF. Goods and services spending has also been sharply reduced, with non-essential items such as travel, subsistence, catering and entertainment declining in real terms. Over the 2016 MTEF, total goods and services spending is projected to grow at 0.6 per cent in real terms. </w:t>
      </w:r>
    </w:p>
    <w:p w:rsidR="00E35132" w:rsidRDefault="00E35132" w:rsidP="00391379">
      <w:pPr>
        <w:tabs>
          <w:tab w:val="left" w:pos="432"/>
          <w:tab w:val="left" w:pos="864"/>
        </w:tabs>
        <w:spacing w:line="276" w:lineRule="auto"/>
        <w:jc w:val="both"/>
        <w:rPr>
          <w:rFonts w:ascii="Arial" w:hAnsi="Arial" w:cs="Arial"/>
          <w:sz w:val="22"/>
          <w:szCs w:val="22"/>
        </w:rPr>
      </w:pPr>
    </w:p>
    <w:p w:rsidR="00E35132" w:rsidRDefault="00E35132" w:rsidP="00391379">
      <w:pPr>
        <w:tabs>
          <w:tab w:val="left" w:pos="432"/>
          <w:tab w:val="left" w:pos="864"/>
        </w:tabs>
        <w:spacing w:line="276" w:lineRule="auto"/>
        <w:jc w:val="both"/>
        <w:rPr>
          <w:rFonts w:ascii="Arial" w:hAnsi="Arial" w:cs="Arial"/>
          <w:sz w:val="22"/>
          <w:szCs w:val="22"/>
        </w:rPr>
      </w:pPr>
      <w:r>
        <w:rPr>
          <w:rFonts w:ascii="Arial" w:hAnsi="Arial" w:cs="Arial"/>
          <w:sz w:val="22"/>
          <w:szCs w:val="22"/>
        </w:rPr>
        <w:t>As a share of total consolidated spending, compensation has declined from 36.1 per cent to 35.3 per cent between 2012/13 and 2014/15. Goods and services spend has declined from 17.1 per cent to 16.8 per cent over the same period.</w:t>
      </w:r>
      <w:r w:rsidRPr="00391379">
        <w:t xml:space="preserve"> </w:t>
      </w:r>
      <w:r w:rsidRPr="00391379">
        <w:rPr>
          <w:rFonts w:ascii="Arial" w:hAnsi="Arial" w:cs="Arial"/>
          <w:sz w:val="22"/>
          <w:szCs w:val="22"/>
        </w:rPr>
        <w:t>From 2016/17 onwards, government will close its current deficit – the</w:t>
      </w:r>
      <w:r>
        <w:rPr>
          <w:rFonts w:ascii="Arial" w:hAnsi="Arial" w:cs="Arial"/>
          <w:sz w:val="22"/>
          <w:szCs w:val="22"/>
        </w:rPr>
        <w:t xml:space="preserve"> </w:t>
      </w:r>
      <w:r w:rsidRPr="00391379">
        <w:rPr>
          <w:rFonts w:ascii="Arial" w:hAnsi="Arial" w:cs="Arial"/>
          <w:sz w:val="22"/>
          <w:szCs w:val="22"/>
        </w:rPr>
        <w:t>difference between current revenue and spending on compensation, goods</w:t>
      </w:r>
      <w:r>
        <w:rPr>
          <w:rFonts w:ascii="Arial" w:hAnsi="Arial" w:cs="Arial"/>
          <w:sz w:val="22"/>
          <w:szCs w:val="22"/>
        </w:rPr>
        <w:t xml:space="preserve"> </w:t>
      </w:r>
      <w:r w:rsidRPr="00391379">
        <w:rPr>
          <w:rFonts w:ascii="Arial" w:hAnsi="Arial" w:cs="Arial"/>
          <w:sz w:val="22"/>
          <w:szCs w:val="22"/>
        </w:rPr>
        <w:t>and services, interest, and current transfers and subsidies. The resultant</w:t>
      </w:r>
      <w:r>
        <w:rPr>
          <w:rFonts w:ascii="Arial" w:hAnsi="Arial" w:cs="Arial"/>
          <w:sz w:val="22"/>
          <w:szCs w:val="22"/>
        </w:rPr>
        <w:t xml:space="preserve"> </w:t>
      </w:r>
      <w:r w:rsidRPr="00391379">
        <w:rPr>
          <w:rFonts w:ascii="Arial" w:hAnsi="Arial" w:cs="Arial"/>
          <w:sz w:val="22"/>
          <w:szCs w:val="22"/>
        </w:rPr>
        <w:t>savings are expected to reach 1.7 per cent of GDP in 2018/19, equivalent</w:t>
      </w:r>
      <w:r>
        <w:rPr>
          <w:rFonts w:ascii="Arial" w:hAnsi="Arial" w:cs="Arial"/>
          <w:sz w:val="22"/>
          <w:szCs w:val="22"/>
        </w:rPr>
        <w:t xml:space="preserve"> </w:t>
      </w:r>
      <w:r w:rsidRPr="00391379">
        <w:rPr>
          <w:rFonts w:ascii="Arial" w:hAnsi="Arial" w:cs="Arial"/>
          <w:sz w:val="22"/>
          <w:szCs w:val="22"/>
        </w:rPr>
        <w:t>to 44 per cent of government’s budgeted capital spending.</w:t>
      </w:r>
    </w:p>
    <w:p w:rsidR="00E35132" w:rsidRDefault="00E35132" w:rsidP="00485EB8">
      <w:pPr>
        <w:tabs>
          <w:tab w:val="left" w:pos="432"/>
          <w:tab w:val="left" w:pos="864"/>
        </w:tabs>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0"/>
        <w:gridCol w:w="1950"/>
        <w:gridCol w:w="1811"/>
        <w:gridCol w:w="2039"/>
      </w:tblGrid>
      <w:tr w:rsidR="00E35132" w:rsidRPr="00A96D4A" w:rsidTr="007F1DFA">
        <w:tc>
          <w:tcPr>
            <w:tcW w:w="3820" w:type="dxa"/>
          </w:tcPr>
          <w:p w:rsidR="00E35132" w:rsidRPr="007F1DFA" w:rsidRDefault="00E35132" w:rsidP="007F1DFA">
            <w:pPr>
              <w:spacing w:before="100" w:beforeAutospacing="1" w:line="276" w:lineRule="auto"/>
              <w:jc w:val="both"/>
              <w:rPr>
                <w:rFonts w:ascii="Calibri" w:hAnsi="Calibri" w:cs="Arial"/>
                <w:b/>
                <w:sz w:val="16"/>
                <w:szCs w:val="16"/>
                <w:lang w:val="af-ZA"/>
              </w:rPr>
            </w:pPr>
            <w:r w:rsidRPr="007F1DFA">
              <w:rPr>
                <w:rFonts w:ascii="Calibri" w:hAnsi="Calibri" w:cs="Arial"/>
                <w:b/>
                <w:sz w:val="16"/>
                <w:szCs w:val="16"/>
                <w:lang w:val="af-ZA"/>
              </w:rPr>
              <w:t xml:space="preserve">Project name </w:t>
            </w:r>
          </w:p>
        </w:tc>
        <w:tc>
          <w:tcPr>
            <w:tcW w:w="1950" w:type="dxa"/>
          </w:tcPr>
          <w:p w:rsidR="00E35132" w:rsidRPr="007F1DFA" w:rsidRDefault="00E35132" w:rsidP="007F1DFA">
            <w:pPr>
              <w:spacing w:before="100" w:beforeAutospacing="1" w:line="276" w:lineRule="auto"/>
              <w:jc w:val="both"/>
              <w:rPr>
                <w:rFonts w:ascii="Calibri" w:hAnsi="Calibri" w:cs="Arial"/>
                <w:b/>
                <w:sz w:val="16"/>
                <w:szCs w:val="16"/>
                <w:lang w:val="af-ZA"/>
              </w:rPr>
            </w:pPr>
            <w:r w:rsidRPr="007F1DFA">
              <w:rPr>
                <w:rFonts w:ascii="Calibri" w:hAnsi="Calibri" w:cs="Arial"/>
                <w:b/>
                <w:sz w:val="16"/>
                <w:szCs w:val="16"/>
                <w:lang w:val="af-ZA"/>
              </w:rPr>
              <w:t xml:space="preserve">Date </w:t>
            </w:r>
          </w:p>
        </w:tc>
        <w:tc>
          <w:tcPr>
            <w:tcW w:w="1811" w:type="dxa"/>
          </w:tcPr>
          <w:p w:rsidR="00E35132" w:rsidRPr="007F1DFA" w:rsidRDefault="00E35132" w:rsidP="007F1DFA">
            <w:pPr>
              <w:spacing w:before="100" w:beforeAutospacing="1" w:line="276" w:lineRule="auto"/>
              <w:jc w:val="both"/>
              <w:rPr>
                <w:rFonts w:ascii="Calibri" w:hAnsi="Calibri" w:cs="Arial"/>
                <w:b/>
                <w:sz w:val="16"/>
                <w:szCs w:val="16"/>
                <w:lang w:val="af-ZA"/>
              </w:rPr>
            </w:pPr>
            <w:r w:rsidRPr="007F1DFA">
              <w:rPr>
                <w:rFonts w:ascii="Calibri" w:hAnsi="Calibri" w:cs="Arial"/>
                <w:b/>
                <w:sz w:val="16"/>
                <w:szCs w:val="16"/>
                <w:lang w:val="af-ZA"/>
              </w:rPr>
              <w:t xml:space="preserve">Contract duration </w:t>
            </w:r>
          </w:p>
        </w:tc>
        <w:tc>
          <w:tcPr>
            <w:tcW w:w="2039" w:type="dxa"/>
          </w:tcPr>
          <w:p w:rsidR="00E35132" w:rsidRPr="007F1DFA" w:rsidRDefault="00E35132" w:rsidP="007F1DFA">
            <w:pPr>
              <w:spacing w:before="100" w:beforeAutospacing="1" w:line="276" w:lineRule="auto"/>
              <w:jc w:val="both"/>
              <w:rPr>
                <w:rFonts w:ascii="Calibri" w:hAnsi="Calibri" w:cs="Arial"/>
                <w:b/>
                <w:sz w:val="16"/>
                <w:szCs w:val="16"/>
                <w:lang w:val="af-ZA"/>
              </w:rPr>
            </w:pPr>
            <w:r w:rsidRPr="007F1DFA">
              <w:rPr>
                <w:rFonts w:ascii="Calibri" w:hAnsi="Calibri" w:cs="Arial"/>
                <w:b/>
                <w:sz w:val="16"/>
                <w:szCs w:val="16"/>
                <w:lang w:val="af-ZA"/>
              </w:rPr>
              <w:t>Project value (R billion)</w:t>
            </w:r>
          </w:p>
        </w:tc>
      </w:tr>
      <w:tr w:rsidR="00E35132" w:rsidRPr="00A96D4A" w:rsidTr="007F1DFA">
        <w:tc>
          <w:tcPr>
            <w:tcW w:w="3820" w:type="dxa"/>
          </w:tcPr>
          <w:p w:rsidR="00E35132" w:rsidRPr="007F1DFA" w:rsidRDefault="00E35132" w:rsidP="007F1DFA">
            <w:pPr>
              <w:spacing w:before="100" w:beforeAutospacing="1" w:line="276" w:lineRule="auto"/>
              <w:rPr>
                <w:rFonts w:ascii="Calibri" w:hAnsi="Calibri" w:cs="Arial"/>
                <w:sz w:val="16"/>
                <w:szCs w:val="16"/>
                <w:lang w:val="af-ZA"/>
              </w:rPr>
            </w:pPr>
            <w:r w:rsidRPr="007F1DFA">
              <w:rPr>
                <w:rFonts w:ascii="Calibri" w:hAnsi="Calibri" w:cs="Arial"/>
                <w:sz w:val="16"/>
                <w:szCs w:val="16"/>
                <w:lang w:val="af-ZA"/>
              </w:rPr>
              <w:t xml:space="preserve">Statistics South Africa Head Office Accommodation  PPP project </w:t>
            </w:r>
          </w:p>
        </w:tc>
        <w:tc>
          <w:tcPr>
            <w:tcW w:w="1950" w:type="dxa"/>
            <w:vAlign w:val="bottom"/>
          </w:tcPr>
          <w:p w:rsidR="00E35132" w:rsidRPr="007F1DFA" w:rsidRDefault="00E35132" w:rsidP="007F1DFA">
            <w:pPr>
              <w:spacing w:line="276" w:lineRule="auto"/>
              <w:jc w:val="center"/>
              <w:rPr>
                <w:rFonts w:ascii="Calibri" w:hAnsi="Calibri"/>
                <w:sz w:val="16"/>
                <w:szCs w:val="16"/>
              </w:rPr>
            </w:pPr>
            <w:r w:rsidRPr="007F1DFA">
              <w:rPr>
                <w:rFonts w:ascii="Calibri" w:hAnsi="Calibri"/>
                <w:sz w:val="16"/>
                <w:szCs w:val="16"/>
              </w:rPr>
              <w:t>April 2014</w:t>
            </w:r>
          </w:p>
        </w:tc>
        <w:tc>
          <w:tcPr>
            <w:tcW w:w="1811" w:type="dxa"/>
            <w:vAlign w:val="bottom"/>
          </w:tcPr>
          <w:p w:rsidR="00E35132" w:rsidRPr="007F1DFA" w:rsidRDefault="00E35132" w:rsidP="007F1DFA">
            <w:pPr>
              <w:spacing w:line="276" w:lineRule="auto"/>
              <w:jc w:val="center"/>
              <w:rPr>
                <w:rFonts w:ascii="Calibri" w:hAnsi="Calibri"/>
                <w:sz w:val="16"/>
                <w:szCs w:val="16"/>
              </w:rPr>
            </w:pPr>
            <w:r w:rsidRPr="007F1DFA">
              <w:rPr>
                <w:rFonts w:ascii="Calibri" w:hAnsi="Calibri"/>
                <w:sz w:val="16"/>
                <w:szCs w:val="16"/>
              </w:rPr>
              <w:t>25 years</w:t>
            </w:r>
          </w:p>
        </w:tc>
        <w:tc>
          <w:tcPr>
            <w:tcW w:w="2039" w:type="dxa"/>
          </w:tcPr>
          <w:p w:rsidR="00E35132" w:rsidRPr="007F1DFA" w:rsidRDefault="00E35132" w:rsidP="007F1DFA">
            <w:pPr>
              <w:spacing w:before="100" w:beforeAutospacing="1" w:line="276" w:lineRule="auto"/>
              <w:jc w:val="center"/>
              <w:rPr>
                <w:rFonts w:ascii="Calibri" w:hAnsi="Calibri" w:cs="Arial"/>
                <w:sz w:val="16"/>
                <w:szCs w:val="16"/>
                <w:lang w:val="af-ZA"/>
              </w:rPr>
            </w:pPr>
            <w:r w:rsidRPr="007F1DFA">
              <w:rPr>
                <w:rFonts w:ascii="Calibri" w:hAnsi="Calibri" w:cs="Arial"/>
                <w:sz w:val="16"/>
                <w:szCs w:val="16"/>
                <w:lang w:val="af-ZA"/>
              </w:rPr>
              <w:t>10.3</w:t>
            </w:r>
          </w:p>
        </w:tc>
      </w:tr>
      <w:tr w:rsidR="00E35132" w:rsidRPr="00A96D4A" w:rsidTr="007F1DFA">
        <w:tc>
          <w:tcPr>
            <w:tcW w:w="3820" w:type="dxa"/>
          </w:tcPr>
          <w:p w:rsidR="00E35132" w:rsidRPr="007F1DFA" w:rsidRDefault="00E35132" w:rsidP="007F1DFA">
            <w:pPr>
              <w:spacing w:before="100" w:beforeAutospacing="1" w:line="276" w:lineRule="auto"/>
              <w:rPr>
                <w:rFonts w:ascii="Calibri" w:hAnsi="Calibri" w:cs="Arial"/>
                <w:sz w:val="16"/>
                <w:szCs w:val="16"/>
                <w:lang w:val="af-ZA"/>
              </w:rPr>
            </w:pPr>
            <w:r w:rsidRPr="007F1DFA">
              <w:rPr>
                <w:rFonts w:ascii="Calibri" w:hAnsi="Calibri" w:cs="Arial"/>
                <w:sz w:val="16"/>
                <w:szCs w:val="16"/>
                <w:lang w:val="af-ZA"/>
              </w:rPr>
              <w:t xml:space="preserve">Independent Power Producer’s Programme 3rd window submission </w:t>
            </w:r>
          </w:p>
        </w:tc>
        <w:tc>
          <w:tcPr>
            <w:tcW w:w="1950" w:type="dxa"/>
          </w:tcPr>
          <w:p w:rsidR="00E35132" w:rsidRPr="007F1DFA" w:rsidRDefault="00E35132" w:rsidP="007F1DFA">
            <w:pPr>
              <w:spacing w:before="100" w:beforeAutospacing="1" w:line="276" w:lineRule="auto"/>
              <w:jc w:val="center"/>
              <w:rPr>
                <w:rFonts w:ascii="Calibri" w:hAnsi="Calibri" w:cs="Arial"/>
                <w:sz w:val="16"/>
                <w:szCs w:val="16"/>
                <w:lang w:val="af-ZA"/>
              </w:rPr>
            </w:pPr>
            <w:r w:rsidRPr="007F1DFA">
              <w:rPr>
                <w:rFonts w:ascii="Calibri" w:hAnsi="Calibri" w:cs="Arial"/>
                <w:sz w:val="16"/>
                <w:szCs w:val="16"/>
                <w:lang w:val="af-ZA"/>
              </w:rPr>
              <w:t>December 2014</w:t>
            </w:r>
          </w:p>
        </w:tc>
        <w:tc>
          <w:tcPr>
            <w:tcW w:w="1811" w:type="dxa"/>
          </w:tcPr>
          <w:p w:rsidR="00E35132" w:rsidRPr="007F1DFA" w:rsidRDefault="00E35132" w:rsidP="007F1DFA">
            <w:pPr>
              <w:spacing w:before="100" w:beforeAutospacing="1" w:line="276" w:lineRule="auto"/>
              <w:jc w:val="center"/>
              <w:rPr>
                <w:rFonts w:ascii="Calibri" w:hAnsi="Calibri" w:cs="Arial"/>
                <w:sz w:val="16"/>
                <w:szCs w:val="16"/>
                <w:lang w:val="af-ZA"/>
              </w:rPr>
            </w:pPr>
            <w:r w:rsidRPr="007F1DFA">
              <w:rPr>
                <w:rFonts w:ascii="Calibri" w:hAnsi="Calibri" w:cs="Arial"/>
                <w:sz w:val="16"/>
                <w:szCs w:val="16"/>
                <w:lang w:val="af-ZA"/>
              </w:rPr>
              <w:t>20 years</w:t>
            </w:r>
          </w:p>
        </w:tc>
        <w:tc>
          <w:tcPr>
            <w:tcW w:w="2039" w:type="dxa"/>
          </w:tcPr>
          <w:p w:rsidR="00E35132" w:rsidRPr="007F1DFA" w:rsidRDefault="00E35132" w:rsidP="007F1DFA">
            <w:pPr>
              <w:spacing w:line="276" w:lineRule="auto"/>
              <w:jc w:val="center"/>
              <w:rPr>
                <w:rFonts w:ascii="Calibri" w:hAnsi="Calibri"/>
                <w:sz w:val="16"/>
                <w:szCs w:val="16"/>
              </w:rPr>
            </w:pPr>
            <w:r w:rsidRPr="007F1DFA">
              <w:rPr>
                <w:rFonts w:ascii="Calibri" w:hAnsi="Calibri"/>
                <w:sz w:val="16"/>
                <w:szCs w:val="16"/>
              </w:rPr>
              <w:t>26*</w:t>
            </w:r>
          </w:p>
        </w:tc>
      </w:tr>
      <w:tr w:rsidR="00E35132" w:rsidRPr="00A96D4A" w:rsidTr="007F1DFA">
        <w:tc>
          <w:tcPr>
            <w:tcW w:w="3820" w:type="dxa"/>
          </w:tcPr>
          <w:p w:rsidR="00E35132" w:rsidRPr="007F1DFA" w:rsidRDefault="00E35132" w:rsidP="007F1DFA">
            <w:pPr>
              <w:spacing w:before="100" w:beforeAutospacing="1" w:line="276" w:lineRule="auto"/>
              <w:rPr>
                <w:rFonts w:ascii="Calibri" w:hAnsi="Calibri" w:cs="Arial"/>
                <w:sz w:val="16"/>
                <w:szCs w:val="16"/>
                <w:lang w:val="af-ZA"/>
              </w:rPr>
            </w:pPr>
            <w:r w:rsidRPr="007F1DFA">
              <w:rPr>
                <w:rFonts w:ascii="Calibri" w:hAnsi="Calibri" w:cs="Arial"/>
                <w:sz w:val="16"/>
                <w:szCs w:val="16"/>
                <w:lang w:val="af-ZA"/>
              </w:rPr>
              <w:t>Municpal capital expenditure funded through borrowings</w:t>
            </w:r>
          </w:p>
        </w:tc>
        <w:tc>
          <w:tcPr>
            <w:tcW w:w="1950" w:type="dxa"/>
          </w:tcPr>
          <w:p w:rsidR="00E35132" w:rsidRPr="007F1DFA" w:rsidRDefault="00E35132" w:rsidP="007F1DFA">
            <w:pPr>
              <w:spacing w:before="100" w:beforeAutospacing="1" w:line="276" w:lineRule="auto"/>
              <w:jc w:val="center"/>
              <w:rPr>
                <w:rFonts w:ascii="Calibri" w:hAnsi="Calibri" w:cs="Arial"/>
                <w:sz w:val="16"/>
                <w:szCs w:val="16"/>
                <w:lang w:val="af-ZA"/>
              </w:rPr>
            </w:pPr>
            <w:r w:rsidRPr="007F1DFA">
              <w:rPr>
                <w:rFonts w:ascii="Calibri" w:hAnsi="Calibri" w:cs="Arial"/>
                <w:sz w:val="16"/>
                <w:szCs w:val="16"/>
                <w:lang w:val="af-ZA"/>
              </w:rPr>
              <w:t>2014/15 financial year</w:t>
            </w:r>
          </w:p>
        </w:tc>
        <w:tc>
          <w:tcPr>
            <w:tcW w:w="1811" w:type="dxa"/>
          </w:tcPr>
          <w:p w:rsidR="00E35132" w:rsidRPr="007F1DFA" w:rsidRDefault="00E35132" w:rsidP="007F1DFA">
            <w:pPr>
              <w:spacing w:before="100" w:beforeAutospacing="1" w:line="276" w:lineRule="auto"/>
              <w:jc w:val="center"/>
              <w:rPr>
                <w:rFonts w:ascii="Calibri" w:hAnsi="Calibri" w:cs="Arial"/>
                <w:sz w:val="16"/>
                <w:szCs w:val="16"/>
                <w:lang w:val="af-ZA"/>
              </w:rPr>
            </w:pPr>
            <w:r w:rsidRPr="007F1DFA">
              <w:rPr>
                <w:rFonts w:ascii="Calibri" w:hAnsi="Calibri" w:cs="Arial"/>
                <w:sz w:val="16"/>
                <w:szCs w:val="16"/>
                <w:lang w:val="af-ZA"/>
              </w:rPr>
              <w:t>-</w:t>
            </w:r>
          </w:p>
        </w:tc>
        <w:tc>
          <w:tcPr>
            <w:tcW w:w="2039" w:type="dxa"/>
          </w:tcPr>
          <w:p w:rsidR="00E35132" w:rsidRPr="007F1DFA" w:rsidRDefault="00E35132" w:rsidP="007F1DFA">
            <w:pPr>
              <w:spacing w:line="276" w:lineRule="auto"/>
              <w:jc w:val="center"/>
              <w:rPr>
                <w:rFonts w:ascii="Calibri" w:hAnsi="Calibri"/>
                <w:sz w:val="16"/>
                <w:szCs w:val="16"/>
              </w:rPr>
            </w:pPr>
            <w:r w:rsidRPr="007F1DFA">
              <w:rPr>
                <w:rFonts w:ascii="Calibri" w:hAnsi="Calibri"/>
                <w:sz w:val="16"/>
                <w:szCs w:val="16"/>
              </w:rPr>
              <w:t>9.4</w:t>
            </w:r>
          </w:p>
        </w:tc>
      </w:tr>
      <w:tr w:rsidR="00E35132" w:rsidRPr="00A96D4A" w:rsidTr="007F1DFA">
        <w:tc>
          <w:tcPr>
            <w:tcW w:w="3820" w:type="dxa"/>
          </w:tcPr>
          <w:p w:rsidR="00E35132" w:rsidRPr="007F1DFA" w:rsidRDefault="00E35132" w:rsidP="007F1DFA">
            <w:pPr>
              <w:spacing w:before="100" w:beforeAutospacing="1" w:line="276" w:lineRule="auto"/>
              <w:rPr>
                <w:rFonts w:ascii="Calibri" w:hAnsi="Calibri" w:cs="Arial"/>
                <w:sz w:val="16"/>
                <w:szCs w:val="16"/>
                <w:lang w:val="af-ZA"/>
              </w:rPr>
            </w:pPr>
            <w:r w:rsidRPr="007F1DFA">
              <w:rPr>
                <w:rFonts w:ascii="Calibri" w:hAnsi="Calibri" w:cs="Arial"/>
                <w:sz w:val="16"/>
                <w:szCs w:val="16"/>
                <w:lang w:val="af-ZA"/>
              </w:rPr>
              <w:t>Municpal capital expenditure funded through borrowings</w:t>
            </w:r>
          </w:p>
        </w:tc>
        <w:tc>
          <w:tcPr>
            <w:tcW w:w="1950" w:type="dxa"/>
          </w:tcPr>
          <w:p w:rsidR="00E35132" w:rsidRPr="007F1DFA" w:rsidRDefault="00E35132" w:rsidP="007F1DFA">
            <w:pPr>
              <w:spacing w:before="100" w:beforeAutospacing="1" w:line="276" w:lineRule="auto"/>
              <w:jc w:val="center"/>
              <w:rPr>
                <w:rFonts w:ascii="Calibri" w:hAnsi="Calibri" w:cs="Arial"/>
                <w:sz w:val="16"/>
                <w:szCs w:val="16"/>
                <w:lang w:val="af-ZA"/>
              </w:rPr>
            </w:pPr>
            <w:r w:rsidRPr="007F1DFA">
              <w:rPr>
                <w:rFonts w:ascii="Calibri" w:hAnsi="Calibri" w:cs="Arial"/>
                <w:sz w:val="16"/>
                <w:szCs w:val="16"/>
                <w:lang w:val="af-ZA"/>
              </w:rPr>
              <w:t>2015/16 financial year</w:t>
            </w:r>
          </w:p>
        </w:tc>
        <w:tc>
          <w:tcPr>
            <w:tcW w:w="1811" w:type="dxa"/>
          </w:tcPr>
          <w:p w:rsidR="00E35132" w:rsidRPr="007F1DFA" w:rsidRDefault="00E35132" w:rsidP="007F1DFA">
            <w:pPr>
              <w:spacing w:before="100" w:beforeAutospacing="1" w:line="276" w:lineRule="auto"/>
              <w:jc w:val="center"/>
              <w:rPr>
                <w:rFonts w:ascii="Calibri" w:hAnsi="Calibri" w:cs="Arial"/>
                <w:sz w:val="16"/>
                <w:szCs w:val="16"/>
                <w:lang w:val="af-ZA"/>
              </w:rPr>
            </w:pPr>
            <w:r w:rsidRPr="007F1DFA">
              <w:rPr>
                <w:rFonts w:ascii="Calibri" w:hAnsi="Calibri" w:cs="Arial"/>
                <w:sz w:val="16"/>
                <w:szCs w:val="16"/>
                <w:lang w:val="af-ZA"/>
              </w:rPr>
              <w:t>-</w:t>
            </w:r>
          </w:p>
        </w:tc>
        <w:tc>
          <w:tcPr>
            <w:tcW w:w="2039" w:type="dxa"/>
          </w:tcPr>
          <w:p w:rsidR="00E35132" w:rsidRPr="007F1DFA" w:rsidRDefault="00E35132" w:rsidP="007F1DFA">
            <w:pPr>
              <w:spacing w:line="276" w:lineRule="auto"/>
              <w:jc w:val="center"/>
              <w:rPr>
                <w:rFonts w:ascii="Calibri" w:hAnsi="Calibri"/>
                <w:sz w:val="16"/>
                <w:szCs w:val="16"/>
              </w:rPr>
            </w:pPr>
            <w:r w:rsidRPr="007F1DFA">
              <w:rPr>
                <w:rFonts w:ascii="Calibri" w:hAnsi="Calibri"/>
                <w:sz w:val="16"/>
                <w:szCs w:val="16"/>
              </w:rPr>
              <w:t>12.1**</w:t>
            </w:r>
          </w:p>
        </w:tc>
      </w:tr>
      <w:tr w:rsidR="00E35132" w:rsidRPr="00A96D4A" w:rsidTr="007F1DFA">
        <w:tc>
          <w:tcPr>
            <w:tcW w:w="3820" w:type="dxa"/>
          </w:tcPr>
          <w:p w:rsidR="00E35132" w:rsidRPr="007F1DFA" w:rsidRDefault="00E35132" w:rsidP="007F1DFA">
            <w:pPr>
              <w:spacing w:before="100" w:beforeAutospacing="1" w:line="276" w:lineRule="auto"/>
              <w:rPr>
                <w:rFonts w:ascii="Calibri" w:hAnsi="Calibri" w:cs="Arial"/>
                <w:b/>
                <w:sz w:val="16"/>
                <w:szCs w:val="16"/>
                <w:lang w:val="af-ZA"/>
              </w:rPr>
            </w:pPr>
            <w:r w:rsidRPr="007F1DFA">
              <w:rPr>
                <w:rFonts w:ascii="Calibri" w:hAnsi="Calibri" w:cs="Arial"/>
                <w:b/>
                <w:sz w:val="16"/>
                <w:szCs w:val="16"/>
                <w:lang w:val="af-ZA"/>
              </w:rPr>
              <w:t xml:space="preserve">Total </w:t>
            </w:r>
          </w:p>
        </w:tc>
        <w:tc>
          <w:tcPr>
            <w:tcW w:w="1950" w:type="dxa"/>
          </w:tcPr>
          <w:p w:rsidR="00E35132" w:rsidRPr="007F1DFA" w:rsidRDefault="00E35132" w:rsidP="007F1DFA">
            <w:pPr>
              <w:spacing w:before="100" w:beforeAutospacing="1" w:line="276" w:lineRule="auto"/>
              <w:jc w:val="center"/>
              <w:rPr>
                <w:rFonts w:ascii="Calibri" w:hAnsi="Calibri" w:cs="Arial"/>
                <w:b/>
                <w:sz w:val="16"/>
                <w:szCs w:val="16"/>
                <w:lang w:val="af-ZA"/>
              </w:rPr>
            </w:pPr>
          </w:p>
        </w:tc>
        <w:tc>
          <w:tcPr>
            <w:tcW w:w="1811" w:type="dxa"/>
          </w:tcPr>
          <w:p w:rsidR="00E35132" w:rsidRPr="007F1DFA" w:rsidRDefault="00E35132" w:rsidP="007F1DFA">
            <w:pPr>
              <w:spacing w:before="100" w:beforeAutospacing="1" w:line="276" w:lineRule="auto"/>
              <w:jc w:val="center"/>
              <w:rPr>
                <w:rFonts w:ascii="Calibri" w:hAnsi="Calibri" w:cs="Arial"/>
                <w:b/>
                <w:sz w:val="16"/>
                <w:szCs w:val="16"/>
                <w:lang w:val="af-ZA"/>
              </w:rPr>
            </w:pPr>
          </w:p>
        </w:tc>
        <w:tc>
          <w:tcPr>
            <w:tcW w:w="2039" w:type="dxa"/>
          </w:tcPr>
          <w:p w:rsidR="00E35132" w:rsidRPr="007F1DFA" w:rsidRDefault="00E35132" w:rsidP="007F1DFA">
            <w:pPr>
              <w:spacing w:line="276" w:lineRule="auto"/>
              <w:jc w:val="center"/>
              <w:rPr>
                <w:rFonts w:ascii="Calibri" w:hAnsi="Calibri"/>
                <w:b/>
                <w:sz w:val="16"/>
                <w:szCs w:val="16"/>
              </w:rPr>
            </w:pPr>
            <w:r w:rsidRPr="007F1DFA">
              <w:rPr>
                <w:rFonts w:ascii="Calibri" w:hAnsi="Calibri"/>
                <w:b/>
                <w:sz w:val="16"/>
                <w:szCs w:val="16"/>
              </w:rPr>
              <w:t>57.8</w:t>
            </w:r>
          </w:p>
        </w:tc>
      </w:tr>
    </w:tbl>
    <w:p w:rsidR="00E35132" w:rsidRPr="00A3262F" w:rsidRDefault="00E35132" w:rsidP="00A3262F">
      <w:pPr>
        <w:spacing w:line="276" w:lineRule="auto"/>
        <w:jc w:val="both"/>
        <w:rPr>
          <w:rFonts w:ascii="Calibri" w:hAnsi="Calibri" w:cs="Arial"/>
          <w:sz w:val="14"/>
          <w:szCs w:val="14"/>
          <w:lang w:val="af-ZA"/>
        </w:rPr>
      </w:pPr>
      <w:r w:rsidRPr="00A3262F">
        <w:rPr>
          <w:rFonts w:ascii="Calibri" w:hAnsi="Calibri" w:cs="Arial"/>
          <w:sz w:val="14"/>
          <w:szCs w:val="14"/>
          <w:lang w:val="af-ZA"/>
        </w:rPr>
        <w:t xml:space="preserve">NB:  </w:t>
      </w:r>
      <w:r>
        <w:rPr>
          <w:rFonts w:ascii="Calibri" w:hAnsi="Calibri" w:cs="Arial"/>
          <w:sz w:val="14"/>
          <w:szCs w:val="14"/>
          <w:lang w:val="af-ZA"/>
        </w:rPr>
        <w:t xml:space="preserve">Most  </w:t>
      </w:r>
      <w:r w:rsidRPr="00A3262F">
        <w:rPr>
          <w:rFonts w:ascii="Calibri" w:hAnsi="Calibri" w:cs="Arial"/>
          <w:sz w:val="14"/>
          <w:szCs w:val="14"/>
          <w:lang w:val="af-ZA"/>
        </w:rPr>
        <w:t xml:space="preserve">State Owned Companies finance their Infrastructure programmes from their own revenue and borrowings backed by government guarantees and they are excluded from a list of the above mentioned projects. </w:t>
      </w:r>
    </w:p>
    <w:p w:rsidR="00E35132" w:rsidRPr="00A3262F" w:rsidRDefault="00E35132" w:rsidP="00A3262F">
      <w:pPr>
        <w:spacing w:line="276" w:lineRule="auto"/>
        <w:jc w:val="both"/>
        <w:rPr>
          <w:rFonts w:ascii="Calibri" w:hAnsi="Calibri" w:cs="Arial"/>
          <w:sz w:val="14"/>
          <w:szCs w:val="14"/>
          <w:lang w:val="af-ZA"/>
        </w:rPr>
      </w:pPr>
      <w:r w:rsidRPr="00A3262F">
        <w:rPr>
          <w:rFonts w:ascii="Calibri" w:hAnsi="Calibri" w:cs="Arial"/>
          <w:sz w:val="14"/>
          <w:szCs w:val="14"/>
          <w:lang w:val="af-ZA"/>
        </w:rPr>
        <w:t xml:space="preserve">* </w:t>
      </w:r>
      <w:r>
        <w:rPr>
          <w:rFonts w:ascii="Calibri" w:hAnsi="Calibri" w:cs="Arial"/>
          <w:sz w:val="14"/>
          <w:szCs w:val="14"/>
          <w:lang w:val="af-ZA"/>
        </w:rPr>
        <w:t>PThe programmeis</w:t>
      </w:r>
      <w:r w:rsidRPr="00A3262F">
        <w:rPr>
          <w:rFonts w:ascii="Calibri" w:hAnsi="Calibri" w:cs="Arial"/>
          <w:sz w:val="14"/>
          <w:szCs w:val="14"/>
          <w:lang w:val="af-ZA"/>
        </w:rPr>
        <w:t xml:space="preserve"> funded by private sector capital raised from financial institutions. The private sector takes the risk associated with the completion of   the project and it in turn benefits from unitary payments made by </w:t>
      </w:r>
      <w:r>
        <w:rPr>
          <w:rFonts w:ascii="Calibri" w:hAnsi="Calibri" w:cs="Arial"/>
          <w:sz w:val="14"/>
          <w:szCs w:val="14"/>
          <w:lang w:val="af-ZA"/>
        </w:rPr>
        <w:t>Eskom/</w:t>
      </w:r>
      <w:r w:rsidRPr="00A3262F">
        <w:rPr>
          <w:rFonts w:ascii="Calibri" w:hAnsi="Calibri" w:cs="Arial"/>
          <w:sz w:val="14"/>
          <w:szCs w:val="14"/>
          <w:lang w:val="af-ZA"/>
        </w:rPr>
        <w:t>government over the duration of the project.</w:t>
      </w:r>
    </w:p>
    <w:p w:rsidR="00E35132" w:rsidRDefault="00E35132" w:rsidP="00A3262F">
      <w:pPr>
        <w:spacing w:line="276" w:lineRule="auto"/>
        <w:jc w:val="both"/>
        <w:rPr>
          <w:rFonts w:ascii="Calibri" w:hAnsi="Calibri" w:cs="Arial"/>
          <w:sz w:val="14"/>
          <w:szCs w:val="14"/>
          <w:lang w:val="af-ZA"/>
        </w:rPr>
      </w:pPr>
      <w:r w:rsidRPr="00A3262F">
        <w:rPr>
          <w:rFonts w:ascii="Calibri" w:hAnsi="Calibri" w:cs="Arial"/>
          <w:sz w:val="14"/>
          <w:szCs w:val="14"/>
          <w:lang w:val="af-ZA"/>
        </w:rPr>
        <w:t xml:space="preserve">**Planned borrowings  for the entire year ending in June 2016. </w:t>
      </w:r>
    </w:p>
    <w:p w:rsidR="00E35132" w:rsidRDefault="00E35132" w:rsidP="00A3262F">
      <w:pPr>
        <w:spacing w:line="276" w:lineRule="auto"/>
        <w:jc w:val="both"/>
        <w:rPr>
          <w:rFonts w:ascii="Calibri" w:hAnsi="Calibri" w:cs="Arial"/>
          <w:sz w:val="14"/>
          <w:szCs w:val="14"/>
          <w:lang w:val="af-ZA"/>
        </w:rPr>
      </w:pPr>
    </w:p>
    <w:p w:rsidR="00E35132" w:rsidRDefault="00E35132" w:rsidP="00A3262F">
      <w:pPr>
        <w:tabs>
          <w:tab w:val="left" w:pos="432"/>
          <w:tab w:val="left" w:pos="864"/>
        </w:tabs>
        <w:spacing w:line="276" w:lineRule="auto"/>
        <w:jc w:val="both"/>
        <w:rPr>
          <w:rFonts w:ascii="Arial" w:hAnsi="Arial" w:cs="Arial"/>
          <w:sz w:val="22"/>
          <w:szCs w:val="22"/>
        </w:rPr>
      </w:pPr>
      <w:r>
        <w:rPr>
          <w:rFonts w:ascii="Arial" w:hAnsi="Arial" w:cs="Arial"/>
          <w:sz w:val="22"/>
          <w:szCs w:val="22"/>
        </w:rPr>
        <w:t>The table above shows some of the projects where the private sector has provided financing. Some are PPP projects whereas others are municipal projects.</w:t>
      </w:r>
    </w:p>
    <w:p w:rsidR="00E35132" w:rsidRPr="00A3262F" w:rsidRDefault="00E35132" w:rsidP="00A3262F">
      <w:pPr>
        <w:spacing w:line="276" w:lineRule="auto"/>
        <w:jc w:val="both"/>
        <w:rPr>
          <w:rFonts w:ascii="Calibri" w:hAnsi="Calibri" w:cs="Arial"/>
          <w:sz w:val="14"/>
          <w:szCs w:val="14"/>
          <w:lang w:val="af-ZA"/>
        </w:rPr>
      </w:pPr>
    </w:p>
    <w:p w:rsidR="00E35132" w:rsidRPr="00594356" w:rsidRDefault="00E35132" w:rsidP="00A3262F">
      <w:pPr>
        <w:pStyle w:val="ListParagraph"/>
        <w:numPr>
          <w:ilvl w:val="0"/>
          <w:numId w:val="3"/>
        </w:numPr>
        <w:autoSpaceDE w:val="0"/>
        <w:autoSpaceDN w:val="0"/>
        <w:adjustRightInd w:val="0"/>
        <w:spacing w:after="0" w:line="240" w:lineRule="auto"/>
        <w:ind w:left="426" w:hanging="426"/>
        <w:jc w:val="both"/>
        <w:rPr>
          <w:rFonts w:ascii="Arial" w:hAnsi="Arial" w:cs="Arial"/>
          <w:lang w:val="en-US"/>
        </w:rPr>
      </w:pPr>
      <w:r w:rsidRPr="00594356">
        <w:rPr>
          <w:rFonts w:ascii="Arial" w:hAnsi="Arial" w:cs="Arial"/>
          <w:lang w:val="en-US"/>
        </w:rPr>
        <w:t>Government is also stepping up its work with municipalities, in partnership with the private sector</w:t>
      </w:r>
      <w:r>
        <w:rPr>
          <w:rFonts w:ascii="Arial" w:hAnsi="Arial" w:cs="Arial"/>
          <w:lang w:val="en-US"/>
        </w:rPr>
        <w:t xml:space="preserve">. </w:t>
      </w:r>
      <w:r w:rsidRPr="00594356">
        <w:rPr>
          <w:rFonts w:ascii="Arial" w:hAnsi="Arial" w:cs="Arial"/>
          <w:lang w:val="en-US"/>
        </w:rPr>
        <w:t xml:space="preserve"> A series of transformative projects valued at over R128 billion has been identified for potential investment in large cities, supported by a project preparation facility at the Development Bank of Southern Africa (DBSA). To broaden funding streams, city governments will focus on improving their systems for revenue collection, expenditure management and land-use zoning.</w:t>
      </w:r>
    </w:p>
    <w:p w:rsidR="00E35132" w:rsidRPr="00185E7F" w:rsidRDefault="00E35132" w:rsidP="00A3262F">
      <w:pPr>
        <w:autoSpaceDE w:val="0"/>
        <w:autoSpaceDN w:val="0"/>
        <w:adjustRightInd w:val="0"/>
        <w:rPr>
          <w:rFonts w:ascii="Arial" w:hAnsi="Arial" w:cs="Arial"/>
        </w:rPr>
      </w:pPr>
    </w:p>
    <w:p w:rsidR="00E35132" w:rsidRPr="00594356" w:rsidRDefault="00E35132" w:rsidP="00A3262F">
      <w:pPr>
        <w:pStyle w:val="ListParagraph"/>
        <w:numPr>
          <w:ilvl w:val="0"/>
          <w:numId w:val="3"/>
        </w:numPr>
        <w:autoSpaceDE w:val="0"/>
        <w:autoSpaceDN w:val="0"/>
        <w:adjustRightInd w:val="0"/>
        <w:spacing w:after="0" w:line="240" w:lineRule="auto"/>
        <w:ind w:left="426" w:hanging="426"/>
        <w:jc w:val="both"/>
        <w:rPr>
          <w:rFonts w:ascii="Arial" w:hAnsi="Arial" w:cs="Arial"/>
          <w:lang w:val="en-US"/>
        </w:rPr>
      </w:pPr>
      <w:r w:rsidRPr="00594356">
        <w:rPr>
          <w:rFonts w:ascii="Arial" w:hAnsi="Arial" w:cs="Arial"/>
          <w:lang w:val="en-US"/>
        </w:rPr>
        <w:t>Cornubia, a mixed-income commercial and residential development in eThekwini, is under construction. A total of 28 500 housing units, 18 clusters of community facilities and 2.3 million square metres of commercial floor space are planned. The city has also developed a densification plan to complement commuter rail modernisation between Umlazi and Bridge City. Private-sector contributions will amount to R15.4 billion of the total development cost of R25.8 billion.</w:t>
      </w:r>
    </w:p>
    <w:p w:rsidR="00E35132" w:rsidRPr="00185E7F" w:rsidRDefault="00E35132" w:rsidP="00A3262F">
      <w:pPr>
        <w:autoSpaceDE w:val="0"/>
        <w:autoSpaceDN w:val="0"/>
        <w:adjustRightInd w:val="0"/>
        <w:rPr>
          <w:rFonts w:ascii="Arial" w:hAnsi="Arial" w:cs="Arial"/>
        </w:rPr>
      </w:pPr>
    </w:p>
    <w:p w:rsidR="00E35132" w:rsidRPr="00594356" w:rsidRDefault="00E35132" w:rsidP="00A3262F">
      <w:pPr>
        <w:pStyle w:val="ListParagraph"/>
        <w:numPr>
          <w:ilvl w:val="0"/>
          <w:numId w:val="3"/>
        </w:numPr>
        <w:autoSpaceDE w:val="0"/>
        <w:autoSpaceDN w:val="0"/>
        <w:adjustRightInd w:val="0"/>
        <w:spacing w:after="0" w:line="240" w:lineRule="auto"/>
        <w:ind w:left="426" w:hanging="426"/>
        <w:jc w:val="both"/>
        <w:rPr>
          <w:rFonts w:ascii="Arial" w:hAnsi="Arial" w:cs="Arial"/>
          <w:lang w:val="en-US"/>
        </w:rPr>
      </w:pPr>
      <w:r w:rsidRPr="00594356">
        <w:rPr>
          <w:rFonts w:ascii="Arial" w:hAnsi="Arial" w:cs="Arial"/>
          <w:lang w:val="en-US"/>
        </w:rPr>
        <w:t>In 2013, the DBSA completed a successful restructuring. Over the medium term, government expects the DBSA to help develop South Africa’s municipal debt market as part of broader efforts to reshape the urban landscape. New initiatives will leverage private-sector investment to complement the DBSA’s own loan disbursements, which total R17.8 billion over the next three years.</w:t>
      </w:r>
    </w:p>
    <w:p w:rsidR="00E35132" w:rsidRPr="00185E7F" w:rsidRDefault="00E35132" w:rsidP="00A3262F">
      <w:pPr>
        <w:autoSpaceDE w:val="0"/>
        <w:autoSpaceDN w:val="0"/>
        <w:adjustRightInd w:val="0"/>
        <w:rPr>
          <w:rFonts w:ascii="Arial" w:hAnsi="Arial" w:cs="Arial"/>
        </w:rPr>
      </w:pPr>
    </w:p>
    <w:p w:rsidR="00E35132" w:rsidRPr="00185E7F" w:rsidRDefault="00E35132" w:rsidP="00A3262F">
      <w:pPr>
        <w:pStyle w:val="ListParagraph"/>
        <w:numPr>
          <w:ilvl w:val="0"/>
          <w:numId w:val="3"/>
        </w:numPr>
        <w:autoSpaceDE w:val="0"/>
        <w:autoSpaceDN w:val="0"/>
        <w:adjustRightInd w:val="0"/>
        <w:spacing w:after="0" w:line="240" w:lineRule="auto"/>
        <w:ind w:left="426" w:hanging="426"/>
        <w:jc w:val="both"/>
        <w:rPr>
          <w:rFonts w:ascii="Arial" w:hAnsi="Arial" w:cs="Arial"/>
          <w:lang w:val="en-US"/>
        </w:rPr>
      </w:pPr>
      <w:r w:rsidRPr="00185E7F">
        <w:rPr>
          <w:rFonts w:ascii="Arial" w:hAnsi="Arial" w:cs="Arial"/>
          <w:lang w:val="en-US"/>
        </w:rPr>
        <w:t>The NHFC disbursed R675 million in loans for affordable housing development, and leveraged R2.2 billion in co-financing from the private sector to support these projects.</w:t>
      </w:r>
    </w:p>
    <w:p w:rsidR="00E35132" w:rsidRPr="007F297C" w:rsidRDefault="00E35132" w:rsidP="00435262">
      <w:pPr>
        <w:tabs>
          <w:tab w:val="left" w:pos="432"/>
          <w:tab w:val="left" w:pos="864"/>
        </w:tabs>
        <w:spacing w:line="276" w:lineRule="auto"/>
        <w:jc w:val="both"/>
        <w:rPr>
          <w:rFonts w:ascii="Arial" w:hAnsi="Arial" w:cs="Arial"/>
          <w:sz w:val="22"/>
          <w:szCs w:val="22"/>
        </w:rPr>
      </w:pPr>
    </w:p>
    <w:p w:rsidR="00E35132" w:rsidRDefault="00E35132" w:rsidP="00435262">
      <w:pPr>
        <w:tabs>
          <w:tab w:val="left" w:pos="432"/>
          <w:tab w:val="left" w:pos="864"/>
        </w:tabs>
        <w:spacing w:line="276" w:lineRule="auto"/>
        <w:jc w:val="both"/>
        <w:rPr>
          <w:rFonts w:ascii="Arial" w:hAnsi="Arial" w:cs="Arial"/>
          <w:b/>
          <w:sz w:val="22"/>
          <w:szCs w:val="22"/>
        </w:rPr>
      </w:pPr>
    </w:p>
    <w:p w:rsidR="00E35132" w:rsidRPr="001B0917" w:rsidRDefault="00E35132" w:rsidP="00435262">
      <w:pPr>
        <w:tabs>
          <w:tab w:val="left" w:pos="432"/>
          <w:tab w:val="left" w:pos="864"/>
        </w:tabs>
        <w:spacing w:line="276" w:lineRule="auto"/>
        <w:jc w:val="both"/>
        <w:rPr>
          <w:rFonts w:ascii="Arial" w:hAnsi="Arial" w:cs="Arial"/>
          <w:b/>
          <w:sz w:val="22"/>
          <w:szCs w:val="22"/>
        </w:rPr>
      </w:pPr>
    </w:p>
    <w:p w:rsidR="00E35132" w:rsidRPr="001B0917" w:rsidRDefault="00E35132" w:rsidP="001B0917">
      <w:pPr>
        <w:tabs>
          <w:tab w:val="left" w:pos="432"/>
          <w:tab w:val="left" w:pos="864"/>
        </w:tabs>
        <w:spacing w:line="276" w:lineRule="auto"/>
        <w:jc w:val="center"/>
        <w:rPr>
          <w:rFonts w:ascii="Arial" w:hAnsi="Arial" w:cs="Arial"/>
          <w:b/>
          <w:sz w:val="22"/>
          <w:szCs w:val="22"/>
        </w:rPr>
      </w:pPr>
    </w:p>
    <w:p w:rsidR="00E35132" w:rsidRPr="001B0917" w:rsidRDefault="00E35132" w:rsidP="001B0917">
      <w:pPr>
        <w:tabs>
          <w:tab w:val="left" w:pos="432"/>
          <w:tab w:val="left" w:pos="864"/>
        </w:tabs>
        <w:spacing w:line="276" w:lineRule="auto"/>
        <w:jc w:val="center"/>
        <w:rPr>
          <w:rFonts w:ascii="Arial" w:hAnsi="Arial" w:cs="Arial"/>
          <w:b/>
          <w:sz w:val="22"/>
          <w:szCs w:val="22"/>
        </w:rPr>
      </w:pPr>
    </w:p>
    <w:p w:rsidR="00E35132" w:rsidRPr="001B0917" w:rsidRDefault="00E35132" w:rsidP="001B0917">
      <w:pPr>
        <w:tabs>
          <w:tab w:val="left" w:pos="432"/>
          <w:tab w:val="left" w:pos="864"/>
        </w:tabs>
        <w:spacing w:line="276" w:lineRule="auto"/>
        <w:jc w:val="center"/>
        <w:rPr>
          <w:rFonts w:ascii="Arial" w:hAnsi="Arial" w:cs="Arial"/>
          <w:b/>
          <w:sz w:val="22"/>
          <w:szCs w:val="22"/>
        </w:rPr>
      </w:pPr>
    </w:p>
    <w:p w:rsidR="00E35132" w:rsidRPr="001B0917" w:rsidRDefault="00E35132" w:rsidP="001B0917">
      <w:pPr>
        <w:tabs>
          <w:tab w:val="left" w:pos="432"/>
          <w:tab w:val="left" w:pos="864"/>
        </w:tabs>
        <w:spacing w:line="276" w:lineRule="auto"/>
        <w:jc w:val="center"/>
        <w:rPr>
          <w:rFonts w:ascii="Arial" w:hAnsi="Arial" w:cs="Arial"/>
          <w:b/>
          <w:sz w:val="22"/>
          <w:szCs w:val="22"/>
        </w:rPr>
      </w:pPr>
    </w:p>
    <w:p w:rsidR="00E35132" w:rsidRPr="001B0917" w:rsidRDefault="00E35132" w:rsidP="001B0917">
      <w:pPr>
        <w:tabs>
          <w:tab w:val="left" w:pos="432"/>
          <w:tab w:val="left" w:pos="864"/>
        </w:tabs>
        <w:spacing w:line="276" w:lineRule="auto"/>
        <w:jc w:val="center"/>
        <w:rPr>
          <w:rFonts w:ascii="Arial" w:hAnsi="Arial" w:cs="Arial"/>
          <w:b/>
          <w:sz w:val="22"/>
          <w:szCs w:val="22"/>
        </w:rPr>
      </w:pPr>
    </w:p>
    <w:p w:rsidR="00E35132" w:rsidRPr="001B0917" w:rsidRDefault="00E35132" w:rsidP="001B0917">
      <w:pPr>
        <w:tabs>
          <w:tab w:val="left" w:pos="432"/>
          <w:tab w:val="left" w:pos="864"/>
        </w:tabs>
        <w:spacing w:line="276" w:lineRule="auto"/>
        <w:jc w:val="center"/>
        <w:rPr>
          <w:rFonts w:ascii="Arial" w:hAnsi="Arial" w:cs="Arial"/>
          <w:b/>
          <w:sz w:val="22"/>
          <w:szCs w:val="22"/>
        </w:rPr>
      </w:pPr>
    </w:p>
    <w:p w:rsidR="00E35132" w:rsidRPr="001B0917" w:rsidRDefault="00E35132" w:rsidP="001B0917">
      <w:pPr>
        <w:spacing w:line="276" w:lineRule="auto"/>
        <w:jc w:val="both"/>
        <w:rPr>
          <w:rFonts w:ascii="Arial" w:hAnsi="Arial" w:cs="Arial"/>
          <w:b/>
          <w:sz w:val="22"/>
          <w:szCs w:val="22"/>
        </w:rPr>
      </w:pPr>
    </w:p>
    <w:sectPr w:rsidR="00E35132"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022F2"/>
    <w:multiLevelType w:val="hybridMultilevel"/>
    <w:tmpl w:val="8CAE89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3EF"/>
    <w:rsid w:val="00020C04"/>
    <w:rsid w:val="0004324C"/>
    <w:rsid w:val="000516FA"/>
    <w:rsid w:val="000518DB"/>
    <w:rsid w:val="00057C88"/>
    <w:rsid w:val="000C48D8"/>
    <w:rsid w:val="000F3B14"/>
    <w:rsid w:val="001433AE"/>
    <w:rsid w:val="00147F03"/>
    <w:rsid w:val="0015727B"/>
    <w:rsid w:val="001713D2"/>
    <w:rsid w:val="00185E7F"/>
    <w:rsid w:val="001B0917"/>
    <w:rsid w:val="001E3FB5"/>
    <w:rsid w:val="001E6902"/>
    <w:rsid w:val="002634A2"/>
    <w:rsid w:val="00263CB0"/>
    <w:rsid w:val="00276946"/>
    <w:rsid w:val="002F6E86"/>
    <w:rsid w:val="003077D9"/>
    <w:rsid w:val="003421BD"/>
    <w:rsid w:val="00391379"/>
    <w:rsid w:val="00426835"/>
    <w:rsid w:val="00435262"/>
    <w:rsid w:val="00454775"/>
    <w:rsid w:val="00485EB8"/>
    <w:rsid w:val="005141B3"/>
    <w:rsid w:val="005641BC"/>
    <w:rsid w:val="00574E19"/>
    <w:rsid w:val="00594356"/>
    <w:rsid w:val="00613FC6"/>
    <w:rsid w:val="006239F1"/>
    <w:rsid w:val="00624D20"/>
    <w:rsid w:val="0062770E"/>
    <w:rsid w:val="0064275F"/>
    <w:rsid w:val="00647EF2"/>
    <w:rsid w:val="00652C37"/>
    <w:rsid w:val="00653A85"/>
    <w:rsid w:val="00681215"/>
    <w:rsid w:val="007118EA"/>
    <w:rsid w:val="00726A9C"/>
    <w:rsid w:val="007359BF"/>
    <w:rsid w:val="00787F43"/>
    <w:rsid w:val="007914E0"/>
    <w:rsid w:val="007A32AF"/>
    <w:rsid w:val="007B10C6"/>
    <w:rsid w:val="007B1BA1"/>
    <w:rsid w:val="007F1DFA"/>
    <w:rsid w:val="007F297C"/>
    <w:rsid w:val="0083456E"/>
    <w:rsid w:val="008536CA"/>
    <w:rsid w:val="00891265"/>
    <w:rsid w:val="008C2559"/>
    <w:rsid w:val="008C43EF"/>
    <w:rsid w:val="008C51C6"/>
    <w:rsid w:val="008D7A5F"/>
    <w:rsid w:val="008E2835"/>
    <w:rsid w:val="00911717"/>
    <w:rsid w:val="009163A5"/>
    <w:rsid w:val="00953363"/>
    <w:rsid w:val="0096007E"/>
    <w:rsid w:val="009A18A7"/>
    <w:rsid w:val="00A27751"/>
    <w:rsid w:val="00A3262F"/>
    <w:rsid w:val="00A525F0"/>
    <w:rsid w:val="00A53FA2"/>
    <w:rsid w:val="00A72B9B"/>
    <w:rsid w:val="00A96D4A"/>
    <w:rsid w:val="00AD00CE"/>
    <w:rsid w:val="00AD5C9B"/>
    <w:rsid w:val="00B349F3"/>
    <w:rsid w:val="00B447E6"/>
    <w:rsid w:val="00B65301"/>
    <w:rsid w:val="00B77F67"/>
    <w:rsid w:val="00B82631"/>
    <w:rsid w:val="00BD31C6"/>
    <w:rsid w:val="00C1230F"/>
    <w:rsid w:val="00C25C7E"/>
    <w:rsid w:val="00C312EA"/>
    <w:rsid w:val="00C44C35"/>
    <w:rsid w:val="00C60822"/>
    <w:rsid w:val="00CC2F3E"/>
    <w:rsid w:val="00CE2B5C"/>
    <w:rsid w:val="00D077DB"/>
    <w:rsid w:val="00DB2463"/>
    <w:rsid w:val="00DC41DF"/>
    <w:rsid w:val="00DD5296"/>
    <w:rsid w:val="00DF0D26"/>
    <w:rsid w:val="00E35132"/>
    <w:rsid w:val="00E77DF6"/>
    <w:rsid w:val="00E8352B"/>
    <w:rsid w:val="00E9093A"/>
    <w:rsid w:val="00EA6A49"/>
    <w:rsid w:val="00F431AE"/>
    <w:rsid w:val="00F51C17"/>
    <w:rsid w:val="00F5571A"/>
    <w:rsid w:val="00F848E6"/>
    <w:rsid w:val="00F87EA6"/>
    <w:rsid w:val="00FC07CB"/>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CC6"/>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967CC6"/>
    <w:rPr>
      <w:sz w:val="24"/>
      <w:szCs w:val="24"/>
    </w:rPr>
  </w:style>
  <w:style w:type="paragraph" w:styleId="BalloonText">
    <w:name w:val="Balloon Text"/>
    <w:basedOn w:val="Normal"/>
    <w:link w:val="BalloonTextChar"/>
    <w:uiPriority w:val="99"/>
    <w:rsid w:val="00F431AE"/>
    <w:rPr>
      <w:rFonts w:ascii="Tahoma" w:hAnsi="Tahoma" w:cs="Tahoma"/>
      <w:sz w:val="16"/>
      <w:szCs w:val="16"/>
    </w:rPr>
  </w:style>
  <w:style w:type="character" w:customStyle="1" w:styleId="BalloonTextChar">
    <w:name w:val="Balloon Text Char"/>
    <w:basedOn w:val="DefaultParagraphFont"/>
    <w:link w:val="BalloonText"/>
    <w:uiPriority w:val="99"/>
    <w:locked/>
    <w:rsid w:val="00F431AE"/>
    <w:rPr>
      <w:rFonts w:ascii="Tahoma" w:hAnsi="Tahoma" w:cs="Tahoma"/>
      <w:sz w:val="16"/>
      <w:szCs w:val="16"/>
      <w:lang w:val="en-US" w:eastAsia="en-US"/>
    </w:rPr>
  </w:style>
  <w:style w:type="character" w:styleId="CommentReference">
    <w:name w:val="annotation reference"/>
    <w:basedOn w:val="DefaultParagraphFont"/>
    <w:uiPriority w:val="99"/>
    <w:rsid w:val="00F431AE"/>
    <w:rPr>
      <w:rFonts w:cs="Times New Roman"/>
      <w:sz w:val="16"/>
      <w:szCs w:val="16"/>
    </w:rPr>
  </w:style>
  <w:style w:type="paragraph" w:styleId="CommentText">
    <w:name w:val="annotation text"/>
    <w:basedOn w:val="Normal"/>
    <w:link w:val="CommentTextChar"/>
    <w:uiPriority w:val="99"/>
    <w:rsid w:val="00F431AE"/>
    <w:rPr>
      <w:sz w:val="20"/>
      <w:szCs w:val="20"/>
    </w:rPr>
  </w:style>
  <w:style w:type="character" w:customStyle="1" w:styleId="CommentTextChar">
    <w:name w:val="Comment Text Char"/>
    <w:basedOn w:val="DefaultParagraphFont"/>
    <w:link w:val="CommentText"/>
    <w:uiPriority w:val="99"/>
    <w:locked/>
    <w:rsid w:val="00F431AE"/>
    <w:rPr>
      <w:rFonts w:cs="Times New Roman"/>
      <w:lang w:val="en-US" w:eastAsia="en-US"/>
    </w:rPr>
  </w:style>
  <w:style w:type="paragraph" w:styleId="CommentSubject">
    <w:name w:val="annotation subject"/>
    <w:basedOn w:val="CommentText"/>
    <w:next w:val="CommentText"/>
    <w:link w:val="CommentSubjectChar"/>
    <w:uiPriority w:val="99"/>
    <w:rsid w:val="00F431AE"/>
    <w:rPr>
      <w:b/>
      <w:bCs/>
    </w:rPr>
  </w:style>
  <w:style w:type="character" w:customStyle="1" w:styleId="CommentSubjectChar">
    <w:name w:val="Comment Subject Char"/>
    <w:basedOn w:val="CommentTextChar"/>
    <w:link w:val="CommentSubject"/>
    <w:uiPriority w:val="99"/>
    <w:locked/>
    <w:rsid w:val="00F431AE"/>
    <w:rPr>
      <w:b/>
      <w:bCs/>
    </w:rPr>
  </w:style>
  <w:style w:type="paragraph" w:styleId="ListParagraph">
    <w:name w:val="List Paragraph"/>
    <w:basedOn w:val="Normal"/>
    <w:uiPriority w:val="99"/>
    <w:qFormat/>
    <w:rsid w:val="00A3262F"/>
    <w:pPr>
      <w:spacing w:after="200" w:line="276" w:lineRule="auto"/>
      <w:ind w:left="720"/>
      <w:contextualSpacing/>
    </w:pPr>
    <w:rPr>
      <w:rFonts w:ascii="Calibri" w:hAnsi="Calibri"/>
      <w:sz w:val="22"/>
      <w:szCs w:val="22"/>
      <w:lang w:val="en-ZA"/>
    </w:rPr>
  </w:style>
  <w:style w:type="table" w:styleId="TableGrid">
    <w:name w:val="Table Grid"/>
    <w:basedOn w:val="TableNormal"/>
    <w:uiPriority w:val="99"/>
    <w:rsid w:val="00A3262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738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689</Words>
  <Characters>3931</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dcterms:created xsi:type="dcterms:W3CDTF">2016-05-10T07:21:00Z</dcterms:created>
  <dcterms:modified xsi:type="dcterms:W3CDTF">2016-05-10T07:21:00Z</dcterms:modified>
</cp:coreProperties>
</file>