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9E6BF6" w:rsidRDefault="00BC5A3F" w:rsidP="00BC5A3F">
      <w:pPr>
        <w:spacing w:line="276" w:lineRule="auto"/>
        <w:jc w:val="center"/>
        <w:rPr>
          <w:rFonts w:ascii="Arial" w:hAnsi="Arial" w:cs="Arial"/>
          <w:b/>
        </w:rPr>
      </w:pPr>
      <w:bookmarkStart w:id="0" w:name="_Hlk34206045"/>
      <w:bookmarkStart w:id="1" w:name="_GoBack"/>
      <w:bookmarkEnd w:id="1"/>
      <w:r w:rsidRPr="009E6BF6">
        <w:rPr>
          <w:rFonts w:ascii="Arial" w:hAnsi="Arial" w:cs="Arial"/>
          <w:b/>
        </w:rPr>
        <w:t xml:space="preserve">NATIONAL </w:t>
      </w:r>
      <w:r w:rsidR="00E938DE" w:rsidRPr="009E6BF6">
        <w:rPr>
          <w:rFonts w:ascii="Arial" w:hAnsi="Arial" w:cs="Arial"/>
          <w:b/>
        </w:rPr>
        <w:t>ASSEMBLY</w:t>
      </w:r>
    </w:p>
    <w:p w:rsidR="00BC5A3F" w:rsidRPr="009E6BF6" w:rsidRDefault="00BC5A3F" w:rsidP="00BC5A3F">
      <w:pPr>
        <w:spacing w:line="276" w:lineRule="auto"/>
        <w:jc w:val="center"/>
        <w:rPr>
          <w:rFonts w:ascii="Arial" w:hAnsi="Arial" w:cs="Arial"/>
          <w:b/>
        </w:rPr>
      </w:pPr>
      <w:r w:rsidRPr="009E6BF6">
        <w:rPr>
          <w:rFonts w:ascii="Arial" w:hAnsi="Arial" w:cs="Arial"/>
          <w:b/>
        </w:rPr>
        <w:t xml:space="preserve">QUESTION FOR </w:t>
      </w:r>
      <w:r w:rsidR="00E938DE" w:rsidRPr="009E6BF6">
        <w:rPr>
          <w:rFonts w:ascii="Arial" w:hAnsi="Arial" w:cs="Arial"/>
          <w:b/>
        </w:rPr>
        <w:t>WRITTEN</w:t>
      </w:r>
      <w:r w:rsidRPr="009E6BF6">
        <w:rPr>
          <w:rFonts w:ascii="Arial" w:hAnsi="Arial" w:cs="Arial"/>
          <w:b/>
        </w:rPr>
        <w:t xml:space="preserve"> REPLY</w:t>
      </w:r>
    </w:p>
    <w:p w:rsidR="00BC5A3F" w:rsidRPr="009E6BF6" w:rsidRDefault="00BC5A3F" w:rsidP="00BC5A3F">
      <w:pPr>
        <w:spacing w:line="276" w:lineRule="auto"/>
        <w:jc w:val="center"/>
        <w:rPr>
          <w:rFonts w:ascii="Arial" w:hAnsi="Arial" w:cs="Arial"/>
          <w:b/>
        </w:rPr>
      </w:pPr>
      <w:r w:rsidRPr="009E6BF6">
        <w:rPr>
          <w:rFonts w:ascii="Arial" w:hAnsi="Arial" w:cs="Arial"/>
          <w:b/>
        </w:rPr>
        <w:t xml:space="preserve">QUESTION NUMBER: </w:t>
      </w:r>
      <w:bookmarkStart w:id="2" w:name="_Hlk34208942"/>
      <w:r w:rsidR="00E1520C" w:rsidRPr="009E6BF6">
        <w:rPr>
          <w:rFonts w:ascii="Arial" w:hAnsi="Arial" w:cs="Arial"/>
          <w:b/>
        </w:rPr>
        <w:t>7</w:t>
      </w:r>
      <w:r w:rsidR="00783E1A" w:rsidRPr="009E6BF6">
        <w:rPr>
          <w:rFonts w:ascii="Arial" w:hAnsi="Arial" w:cs="Arial"/>
          <w:b/>
        </w:rPr>
        <w:t>4</w:t>
      </w:r>
      <w:r w:rsidR="00354BA4" w:rsidRPr="009E6BF6">
        <w:rPr>
          <w:rFonts w:ascii="Arial" w:hAnsi="Arial" w:cs="Arial"/>
          <w:b/>
        </w:rPr>
        <w:t xml:space="preserve"> </w:t>
      </w:r>
      <w:r w:rsidRPr="009E6BF6">
        <w:rPr>
          <w:rFonts w:ascii="Arial" w:hAnsi="Arial" w:cs="Arial"/>
          <w:b/>
        </w:rPr>
        <w:t>[</w:t>
      </w:r>
      <w:r w:rsidR="00E938DE" w:rsidRPr="009E6BF6">
        <w:rPr>
          <w:rFonts w:ascii="Arial" w:hAnsi="Arial" w:cs="Arial"/>
          <w:b/>
        </w:rPr>
        <w:t>NW</w:t>
      </w:r>
      <w:r w:rsidR="00893761" w:rsidRPr="009E6BF6">
        <w:rPr>
          <w:rFonts w:ascii="Arial" w:hAnsi="Arial" w:cs="Arial"/>
          <w:b/>
        </w:rPr>
        <w:t>7</w:t>
      </w:r>
      <w:r w:rsidR="00783E1A" w:rsidRPr="009E6BF6">
        <w:rPr>
          <w:rFonts w:ascii="Arial" w:hAnsi="Arial" w:cs="Arial"/>
          <w:b/>
        </w:rPr>
        <w:t>8</w:t>
      </w:r>
      <w:r w:rsidRPr="009E6BF6">
        <w:rPr>
          <w:rFonts w:ascii="Arial" w:hAnsi="Arial" w:cs="Arial"/>
          <w:b/>
          <w:lang w:val="en-ZA"/>
        </w:rPr>
        <w:t>E</w:t>
      </w:r>
      <w:r w:rsidRPr="009E6BF6">
        <w:rPr>
          <w:rFonts w:ascii="Arial" w:hAnsi="Arial" w:cs="Arial"/>
          <w:b/>
        </w:rPr>
        <w:t>]</w:t>
      </w:r>
      <w:bookmarkEnd w:id="2"/>
    </w:p>
    <w:p w:rsidR="00BC5A3F" w:rsidRPr="009E6BF6" w:rsidRDefault="00E938DE" w:rsidP="00EC347E">
      <w:pPr>
        <w:spacing w:line="276" w:lineRule="auto"/>
        <w:jc w:val="center"/>
        <w:rPr>
          <w:rFonts w:ascii="Arial" w:hAnsi="Arial" w:cs="Arial"/>
          <w:b/>
        </w:rPr>
      </w:pPr>
      <w:r w:rsidRPr="009E6BF6">
        <w:rPr>
          <w:rFonts w:ascii="Arial" w:hAnsi="Arial" w:cs="Arial"/>
          <w:b/>
        </w:rPr>
        <w:t xml:space="preserve">DATE OF PUBLICATION: </w:t>
      </w:r>
      <w:r w:rsidR="00EC347E" w:rsidRPr="009E6BF6">
        <w:rPr>
          <w:rFonts w:ascii="Arial" w:hAnsi="Arial" w:cs="Arial"/>
          <w:b/>
        </w:rPr>
        <w:t>12 FEBRUARY 2020</w:t>
      </w:r>
    </w:p>
    <w:bookmarkEnd w:id="0"/>
    <w:p w:rsidR="008E3D62" w:rsidRPr="009E6BF6" w:rsidRDefault="008E3D62" w:rsidP="00EC347E">
      <w:pPr>
        <w:spacing w:line="276" w:lineRule="auto"/>
        <w:jc w:val="both"/>
        <w:rPr>
          <w:rFonts w:ascii="Arial" w:hAnsi="Arial" w:cs="Arial"/>
          <w:b/>
        </w:rPr>
      </w:pPr>
    </w:p>
    <w:p w:rsidR="00783E1A" w:rsidRPr="009E6BF6" w:rsidRDefault="00783E1A" w:rsidP="00783E1A">
      <w:pPr>
        <w:spacing w:before="100" w:beforeAutospacing="1" w:after="100" w:afterAutospacing="1" w:line="276" w:lineRule="auto"/>
        <w:ind w:left="720" w:hanging="720"/>
        <w:jc w:val="both"/>
        <w:outlineLvl w:val="0"/>
        <w:rPr>
          <w:rFonts w:ascii="Arial" w:eastAsia="Calibri" w:hAnsi="Arial" w:cs="Arial"/>
          <w:b/>
          <w:bCs/>
          <w:color w:val="000000"/>
          <w:lang w:val="en-ZA" w:eastAsia="en-ZA"/>
        </w:rPr>
      </w:pPr>
      <w:r w:rsidRPr="009E6BF6">
        <w:rPr>
          <w:rFonts w:ascii="Arial" w:hAnsi="Arial" w:cs="Arial"/>
          <w:b/>
        </w:rPr>
        <w:t>74.</w:t>
      </w:r>
      <w:r w:rsidRPr="009E6BF6">
        <w:rPr>
          <w:rFonts w:ascii="Arial" w:hAnsi="Arial" w:cs="Arial"/>
          <w:b/>
        </w:rPr>
        <w:tab/>
        <w:t xml:space="preserve">Mr R A Lees (DA) </w:t>
      </w:r>
      <w:r w:rsidRPr="009E6BF6">
        <w:rPr>
          <w:rFonts w:ascii="Arial" w:eastAsia="Calibri" w:hAnsi="Arial" w:cs="Arial"/>
          <w:b/>
          <w:bCs/>
          <w:color w:val="000000"/>
          <w:lang w:eastAsia="en-ZA"/>
        </w:rPr>
        <w:t xml:space="preserve">to ask the </w:t>
      </w:r>
      <w:r w:rsidRPr="009E6BF6">
        <w:rPr>
          <w:rFonts w:ascii="Arial" w:hAnsi="Arial" w:cs="Arial"/>
          <w:b/>
        </w:rPr>
        <w:t>Minister</w:t>
      </w:r>
      <w:r w:rsidRPr="009E6BF6">
        <w:rPr>
          <w:rFonts w:ascii="Arial" w:eastAsia="Calibri" w:hAnsi="Arial" w:cs="Arial"/>
          <w:b/>
          <w:bCs/>
          <w:color w:val="000000"/>
          <w:lang w:eastAsia="en-ZA"/>
        </w:rPr>
        <w:t xml:space="preserve"> of Finance:</w:t>
      </w:r>
    </w:p>
    <w:p w:rsidR="00783E1A" w:rsidRPr="009E6BF6" w:rsidRDefault="00783E1A" w:rsidP="00783E1A">
      <w:pPr>
        <w:spacing w:before="100" w:beforeAutospacing="1" w:after="100" w:afterAutospacing="1" w:line="276" w:lineRule="auto"/>
        <w:ind w:left="720" w:hanging="720"/>
        <w:jc w:val="both"/>
        <w:rPr>
          <w:rFonts w:ascii="Arial" w:eastAsiaTheme="minorHAnsi" w:hAnsi="Arial" w:cs="Arial"/>
        </w:rPr>
      </w:pPr>
      <w:r w:rsidRPr="009E6BF6">
        <w:rPr>
          <w:rFonts w:ascii="Arial" w:hAnsi="Arial" w:cs="Arial"/>
        </w:rPr>
        <w:t>(1)</w:t>
      </w:r>
      <w:r w:rsidRPr="009E6BF6">
        <w:rPr>
          <w:rFonts w:ascii="Arial" w:hAnsi="Arial" w:cs="Arial"/>
        </w:rPr>
        <w:tab/>
      </w:r>
      <w:r w:rsidRPr="009E6BF6">
        <w:rPr>
          <w:rFonts w:ascii="Arial" w:eastAsia="Calibri" w:hAnsi="Arial" w:cs="Arial"/>
        </w:rPr>
        <w:t>What</w:t>
      </w:r>
      <w:r w:rsidRPr="009E6BF6">
        <w:rPr>
          <w:rFonts w:ascii="Arial" w:hAnsi="Arial" w:cs="Arial"/>
        </w:rPr>
        <w:t xml:space="preserve"> are the full circumstances which led to the Public Investment Corporation's purchase of the farm Palmietfontein 403, extent 547 hectares, and the Farm IP 564, extent 481 hectares, in the North West for the purchase price of R586 500 000;</w:t>
      </w:r>
    </w:p>
    <w:p w:rsidR="00783E1A" w:rsidRPr="009E6BF6" w:rsidRDefault="00783E1A" w:rsidP="00783E1A">
      <w:pPr>
        <w:spacing w:before="100" w:beforeAutospacing="1" w:after="100" w:afterAutospacing="1" w:line="276" w:lineRule="auto"/>
        <w:ind w:left="720" w:hanging="720"/>
        <w:jc w:val="both"/>
        <w:rPr>
          <w:rFonts w:ascii="Arial" w:hAnsi="Arial" w:cs="Arial"/>
        </w:rPr>
      </w:pPr>
      <w:r w:rsidRPr="009E6BF6">
        <w:rPr>
          <w:rFonts w:ascii="Arial" w:hAnsi="Arial" w:cs="Arial"/>
        </w:rPr>
        <w:t>(2)</w:t>
      </w:r>
      <w:r w:rsidRPr="009E6BF6">
        <w:rPr>
          <w:rFonts w:ascii="Arial" w:hAnsi="Arial" w:cs="Arial"/>
        </w:rPr>
        <w:tab/>
        <w:t xml:space="preserve">whether he has found that there was no impropriety in this purchase; if not, </w:t>
      </w:r>
      <w:r w:rsidRPr="009E6BF6">
        <w:rPr>
          <w:rFonts w:ascii="Arial" w:eastAsia="Calibri" w:hAnsi="Arial" w:cs="Arial"/>
        </w:rPr>
        <w:t>how</w:t>
      </w:r>
      <w:r w:rsidRPr="009E6BF6">
        <w:rPr>
          <w:rFonts w:ascii="Arial" w:hAnsi="Arial" w:cs="Arial"/>
        </w:rPr>
        <w:t xml:space="preserve"> did he reach this conclusion; if so, what are the relevant details?</w:t>
      </w:r>
      <w:r w:rsidRPr="009E6BF6">
        <w:rPr>
          <w:rFonts w:ascii="Arial" w:hAnsi="Arial" w:cs="Arial"/>
        </w:rPr>
        <w:tab/>
      </w:r>
    </w:p>
    <w:p w:rsidR="00783E1A" w:rsidRPr="009E6BF6" w:rsidRDefault="00783E1A" w:rsidP="00783E1A">
      <w:pPr>
        <w:spacing w:before="100" w:beforeAutospacing="1" w:after="100" w:afterAutospacing="1" w:line="276" w:lineRule="auto"/>
        <w:ind w:left="6480" w:firstLine="720"/>
        <w:jc w:val="both"/>
        <w:rPr>
          <w:rFonts w:ascii="Arial" w:hAnsi="Arial" w:cs="Arial"/>
          <w:noProof/>
        </w:rPr>
      </w:pPr>
      <w:r w:rsidRPr="009E6BF6">
        <w:rPr>
          <w:rFonts w:ascii="Arial" w:hAnsi="Arial" w:cs="Arial"/>
        </w:rPr>
        <w:t>NW78E</w:t>
      </w:r>
    </w:p>
    <w:p w:rsidR="008E3D62" w:rsidRPr="009E6BF6" w:rsidRDefault="00E1520C" w:rsidP="0046713E">
      <w:pPr>
        <w:spacing w:before="100" w:beforeAutospacing="1" w:after="100" w:afterAutospacing="1" w:line="276" w:lineRule="auto"/>
        <w:jc w:val="both"/>
        <w:outlineLvl w:val="0"/>
        <w:rPr>
          <w:rFonts w:ascii="Arial" w:hAnsi="Arial" w:cs="Arial"/>
        </w:rPr>
      </w:pPr>
      <w:r w:rsidRPr="009E6BF6">
        <w:rPr>
          <w:rFonts w:ascii="Arial" w:hAnsi="Arial" w:cs="Arial"/>
          <w:b/>
        </w:rPr>
        <w:t xml:space="preserve"> </w:t>
      </w:r>
      <w:r w:rsidR="008E3D62" w:rsidRPr="009E6BF6">
        <w:rPr>
          <w:rFonts w:ascii="Arial" w:hAnsi="Arial" w:cs="Arial"/>
          <w:b/>
        </w:rPr>
        <w:t>REPLY</w:t>
      </w:r>
      <w:r w:rsidR="008E3D62" w:rsidRPr="009E6BF6">
        <w:rPr>
          <w:rFonts w:ascii="Arial" w:hAnsi="Arial" w:cs="Arial"/>
        </w:rPr>
        <w:t>:</w:t>
      </w:r>
    </w:p>
    <w:p w:rsidR="009E6BF6" w:rsidRPr="009E6BF6" w:rsidRDefault="009E6BF6" w:rsidP="009E6BF6">
      <w:pPr>
        <w:spacing w:before="100" w:beforeAutospacing="1" w:after="100" w:afterAutospacing="1" w:line="276" w:lineRule="auto"/>
        <w:ind w:left="720" w:hanging="720"/>
        <w:jc w:val="both"/>
        <w:rPr>
          <w:rFonts w:ascii="Arial" w:eastAsia="Calibri" w:hAnsi="Arial" w:cs="Arial"/>
        </w:rPr>
      </w:pPr>
      <w:r w:rsidRPr="009E6BF6">
        <w:rPr>
          <w:rFonts w:ascii="Arial" w:eastAsia="Calibri" w:hAnsi="Arial" w:cs="Arial"/>
        </w:rPr>
        <w:t>(1)</w:t>
      </w:r>
      <w:r w:rsidRPr="009E6BF6">
        <w:rPr>
          <w:rFonts w:ascii="Arial" w:eastAsia="Calibri" w:hAnsi="Arial" w:cs="Arial"/>
        </w:rPr>
        <w:tab/>
        <w:t>I am advised by the Public Investment Corporation (PIC) of the following:</w:t>
      </w:r>
    </w:p>
    <w:p w:rsidR="009E6BF6" w:rsidRPr="009E6BF6" w:rsidRDefault="009E6BF6" w:rsidP="009E6BF6">
      <w:pPr>
        <w:spacing w:before="100" w:beforeAutospacing="1" w:after="100" w:afterAutospacing="1" w:line="276" w:lineRule="auto"/>
        <w:ind w:left="720"/>
        <w:jc w:val="both"/>
        <w:rPr>
          <w:rFonts w:ascii="Arial" w:eastAsia="Calibri" w:hAnsi="Arial" w:cs="Arial"/>
        </w:rPr>
      </w:pPr>
      <w:r w:rsidRPr="009E6BF6">
        <w:rPr>
          <w:rFonts w:ascii="Arial" w:eastAsia="Calibri" w:hAnsi="Arial" w:cs="Arial"/>
        </w:rPr>
        <w:t>The PIC, on behalf of its client, the Government Employees Pension Fund (GEPF), acquired a 60% undivided share in a property development in the City of Matlosana (Klerksdorp), named the N12 Development. A consortium approached the PIC for funding to buy the land. Since vacant land is not income generating, an investment of this nature by the PIC was impermissible as it would not generate cash flows to service debt. The PIC decided to participate as an equity investor, and acquired the undivided share and will use the development to grow the GEPF’s investment portfolio.</w:t>
      </w:r>
    </w:p>
    <w:p w:rsidR="009E6BF6" w:rsidRPr="009E6BF6" w:rsidRDefault="009E6BF6" w:rsidP="009E6BF6">
      <w:pPr>
        <w:spacing w:before="100" w:beforeAutospacing="1" w:after="100" w:afterAutospacing="1" w:line="276" w:lineRule="auto"/>
        <w:ind w:left="720"/>
        <w:jc w:val="both"/>
        <w:rPr>
          <w:rFonts w:ascii="Arial" w:eastAsia="Calibri" w:hAnsi="Arial" w:cs="Arial"/>
        </w:rPr>
      </w:pPr>
      <w:r w:rsidRPr="009E6BF6">
        <w:rPr>
          <w:rFonts w:ascii="Arial" w:eastAsia="Calibri" w:hAnsi="Arial" w:cs="Arial"/>
        </w:rPr>
        <w:t>The development consists of two sites on the northern and southern sides of the N12 between Klerksdorp and Stilfontein of approximately 426.5ha and 979ha, respectively. 90% of the land has approval for the establishment of a township consisting of Business Rights (retail, office, car dealerships, etc.), Residential (low and medium density), Industrial, a school and a hospital.</w:t>
      </w:r>
    </w:p>
    <w:p w:rsidR="009E6BF6" w:rsidRPr="009E6BF6" w:rsidRDefault="009E6BF6" w:rsidP="009E6BF6">
      <w:pPr>
        <w:spacing w:before="100" w:beforeAutospacing="1" w:after="100" w:afterAutospacing="1" w:line="276" w:lineRule="auto"/>
        <w:ind w:left="720"/>
        <w:jc w:val="both"/>
        <w:rPr>
          <w:rFonts w:ascii="Arial" w:eastAsia="Calibri" w:hAnsi="Arial" w:cs="Arial"/>
        </w:rPr>
      </w:pPr>
      <w:r w:rsidRPr="009E6BF6">
        <w:rPr>
          <w:rFonts w:ascii="Arial" w:eastAsia="Calibri" w:hAnsi="Arial" w:cs="Arial"/>
        </w:rPr>
        <w:t>The PIC records that it conducted a full due diligence process on the acq</w:t>
      </w:r>
      <w:r w:rsidR="00A4178F">
        <w:rPr>
          <w:rFonts w:ascii="Arial" w:eastAsia="Calibri" w:hAnsi="Arial" w:cs="Arial"/>
        </w:rPr>
        <w:t>uisition of the land.  The due diligence was done by independent service providers and included the following:</w:t>
      </w:r>
    </w:p>
    <w:p w:rsidR="009E6BF6" w:rsidRDefault="00A4178F" w:rsidP="009E6BF6">
      <w:pPr>
        <w:pStyle w:val="ListParagraph"/>
        <w:numPr>
          <w:ilvl w:val="0"/>
          <w:numId w:val="13"/>
        </w:numPr>
        <w:spacing w:before="100" w:beforeAutospacing="1" w:after="100" w:afterAutospacing="1" w:line="276" w:lineRule="auto"/>
        <w:jc w:val="both"/>
        <w:rPr>
          <w:rFonts w:ascii="Arial" w:eastAsia="Calibri" w:hAnsi="Arial" w:cs="Arial"/>
        </w:rPr>
      </w:pPr>
      <w:r>
        <w:rPr>
          <w:rFonts w:ascii="Arial" w:eastAsia="Calibri" w:hAnsi="Arial" w:cs="Arial"/>
        </w:rPr>
        <w:t>Land Valuations; and</w:t>
      </w:r>
    </w:p>
    <w:p w:rsidR="00A4178F" w:rsidRDefault="009E6BF6" w:rsidP="009E6BF6">
      <w:pPr>
        <w:pStyle w:val="ListParagraph"/>
        <w:numPr>
          <w:ilvl w:val="0"/>
          <w:numId w:val="13"/>
        </w:numPr>
        <w:spacing w:before="100" w:beforeAutospacing="1" w:after="100" w:afterAutospacing="1" w:line="276" w:lineRule="auto"/>
        <w:jc w:val="both"/>
        <w:rPr>
          <w:rFonts w:ascii="Arial" w:eastAsia="Calibri" w:hAnsi="Arial" w:cs="Arial"/>
        </w:rPr>
      </w:pPr>
      <w:r w:rsidRPr="009E6BF6">
        <w:rPr>
          <w:rFonts w:ascii="Arial" w:eastAsia="Calibri" w:hAnsi="Arial" w:cs="Arial"/>
        </w:rPr>
        <w:lastRenderedPageBreak/>
        <w:t>Town Planning</w:t>
      </w:r>
      <w:r w:rsidR="00A4178F">
        <w:rPr>
          <w:rFonts w:ascii="Arial" w:eastAsia="Calibri" w:hAnsi="Arial" w:cs="Arial"/>
        </w:rPr>
        <w:t>.</w:t>
      </w:r>
    </w:p>
    <w:p w:rsidR="009E6BF6" w:rsidRPr="00A4178F" w:rsidRDefault="00A4178F" w:rsidP="00A4178F">
      <w:pPr>
        <w:spacing w:before="100" w:beforeAutospacing="1" w:after="100" w:afterAutospacing="1" w:line="276" w:lineRule="auto"/>
        <w:ind w:left="720"/>
        <w:jc w:val="both"/>
        <w:rPr>
          <w:rFonts w:ascii="Arial" w:eastAsia="Calibri" w:hAnsi="Arial" w:cs="Arial"/>
        </w:rPr>
      </w:pPr>
      <w:r>
        <w:rPr>
          <w:rFonts w:ascii="Arial" w:eastAsia="Calibri" w:hAnsi="Arial" w:cs="Arial"/>
        </w:rPr>
        <w:t xml:space="preserve">Further to this, the PIC conducted </w:t>
      </w:r>
      <w:r w:rsidR="009E6BF6" w:rsidRPr="00A4178F">
        <w:rPr>
          <w:rFonts w:ascii="Arial" w:eastAsia="Calibri" w:hAnsi="Arial" w:cs="Arial"/>
        </w:rPr>
        <w:t xml:space="preserve">Legal-, Risk and Environmental, Social and Governance </w:t>
      </w:r>
      <w:r>
        <w:rPr>
          <w:rFonts w:ascii="Arial" w:eastAsia="Calibri" w:hAnsi="Arial" w:cs="Arial"/>
        </w:rPr>
        <w:t xml:space="preserve">(ESG) </w:t>
      </w:r>
      <w:r w:rsidR="009E6BF6" w:rsidRPr="00A4178F">
        <w:rPr>
          <w:rFonts w:ascii="Arial" w:eastAsia="Calibri" w:hAnsi="Arial" w:cs="Arial"/>
        </w:rPr>
        <w:t>evaluations</w:t>
      </w:r>
      <w:r>
        <w:rPr>
          <w:rFonts w:ascii="Arial" w:eastAsia="Calibri" w:hAnsi="Arial" w:cs="Arial"/>
        </w:rPr>
        <w:t>.</w:t>
      </w:r>
    </w:p>
    <w:p w:rsidR="009E6BF6" w:rsidRPr="009E6BF6" w:rsidRDefault="009E6BF6" w:rsidP="009E6BF6">
      <w:pPr>
        <w:spacing w:before="100" w:beforeAutospacing="1" w:after="100" w:afterAutospacing="1" w:line="276" w:lineRule="auto"/>
        <w:ind w:left="720"/>
        <w:jc w:val="both"/>
        <w:rPr>
          <w:rFonts w:ascii="Arial" w:eastAsia="Calibri" w:hAnsi="Arial" w:cs="Arial"/>
        </w:rPr>
      </w:pPr>
      <w:r w:rsidRPr="009E6BF6">
        <w:rPr>
          <w:rFonts w:ascii="Arial" w:eastAsia="Calibri" w:hAnsi="Arial" w:cs="Arial"/>
        </w:rPr>
        <w:t>The Valuator used the comparable sales method of valuation that incorpor</w:t>
      </w:r>
      <w:r w:rsidR="00A4178F">
        <w:rPr>
          <w:rFonts w:ascii="Arial" w:eastAsia="Calibri" w:hAnsi="Arial" w:cs="Arial"/>
        </w:rPr>
        <w:t xml:space="preserve">ated various development models. </w:t>
      </w:r>
      <w:r w:rsidRPr="009E6BF6">
        <w:rPr>
          <w:rFonts w:ascii="Arial" w:eastAsia="Calibri" w:hAnsi="Arial" w:cs="Arial"/>
        </w:rPr>
        <w:t>The Valuator concluded that the lan</w:t>
      </w:r>
      <w:r w:rsidR="00A4178F">
        <w:rPr>
          <w:rFonts w:ascii="Arial" w:eastAsia="Calibri" w:hAnsi="Arial" w:cs="Arial"/>
        </w:rPr>
        <w:t>d be valued at an average of R2</w:t>
      </w:r>
      <w:r w:rsidRPr="009E6BF6">
        <w:rPr>
          <w:rFonts w:ascii="Arial" w:eastAsia="Calibri" w:hAnsi="Arial" w:cs="Arial"/>
        </w:rPr>
        <w:t>100/ha with a combined total of R2.010 billion for both portions of land. The PIC acquired a 60% undivided share in the development at a purchase price of R510 million (excluding VAT) – well below the R1.2 billion valuation for a 60% share, in terms of the independent market evaluation.</w:t>
      </w:r>
    </w:p>
    <w:p w:rsidR="009E6BF6" w:rsidRPr="009E6BF6" w:rsidRDefault="009E6BF6" w:rsidP="009E6BF6">
      <w:pPr>
        <w:spacing w:before="100" w:beforeAutospacing="1" w:after="100" w:afterAutospacing="1" w:line="276" w:lineRule="auto"/>
        <w:ind w:left="720"/>
        <w:jc w:val="both"/>
        <w:rPr>
          <w:rFonts w:ascii="Arial" w:eastAsia="Calibri" w:hAnsi="Arial" w:cs="Arial"/>
        </w:rPr>
      </w:pPr>
      <w:r w:rsidRPr="009E6BF6">
        <w:rPr>
          <w:rFonts w:ascii="Arial" w:eastAsia="Calibri" w:hAnsi="Arial" w:cs="Arial"/>
        </w:rPr>
        <w:t>An amount of R306 million of the purchase price is being retained in an escrow account</w:t>
      </w:r>
      <w:r w:rsidR="00A4178F">
        <w:rPr>
          <w:rFonts w:ascii="Arial" w:eastAsia="Calibri" w:hAnsi="Arial" w:cs="Arial"/>
        </w:rPr>
        <w:t>,</w:t>
      </w:r>
      <w:r w:rsidRPr="009E6BF6">
        <w:rPr>
          <w:rFonts w:ascii="Arial" w:eastAsia="Calibri" w:hAnsi="Arial" w:cs="Arial"/>
        </w:rPr>
        <w:t xml:space="preserve"> to ensure that the developer can contribute their 40% of the development costs, as and when needed.</w:t>
      </w:r>
    </w:p>
    <w:p w:rsidR="009E6BF6" w:rsidRPr="009E6BF6" w:rsidRDefault="009E6BF6" w:rsidP="009E6BF6">
      <w:pPr>
        <w:spacing w:before="100" w:beforeAutospacing="1" w:after="100" w:afterAutospacing="1" w:line="276" w:lineRule="auto"/>
        <w:ind w:left="720"/>
        <w:jc w:val="both"/>
        <w:rPr>
          <w:rFonts w:ascii="Arial" w:eastAsia="Calibri" w:hAnsi="Arial" w:cs="Arial"/>
        </w:rPr>
      </w:pPr>
      <w:r w:rsidRPr="009E6BF6">
        <w:rPr>
          <w:rFonts w:ascii="Arial" w:eastAsia="Calibri" w:hAnsi="Arial" w:cs="Arial"/>
        </w:rPr>
        <w:t>Isago@N12Development (PTY) Ltd., the co-owner and developer, entered into an agreement with the South African National Military Veterans Association (SANMVA) in terms of which SANMVA acquired a 1% shareholding in the investment. That shareholding and their 40% undivided share was transferred from Isago@N12Develoment (Pty) Ltd. to Isago Holdings (Pty) Ltd .</w:t>
      </w:r>
    </w:p>
    <w:p w:rsidR="009E6BF6" w:rsidRPr="009E6BF6" w:rsidRDefault="009E6BF6" w:rsidP="009E6BF6">
      <w:pPr>
        <w:spacing w:before="100" w:beforeAutospacing="1" w:after="100" w:afterAutospacing="1" w:line="276" w:lineRule="auto"/>
        <w:ind w:left="720" w:hanging="720"/>
        <w:jc w:val="both"/>
        <w:rPr>
          <w:rFonts w:ascii="Arial" w:eastAsia="Calibri" w:hAnsi="Arial" w:cs="Arial"/>
        </w:rPr>
      </w:pPr>
    </w:p>
    <w:p w:rsidR="009E6BF6" w:rsidRPr="009E6BF6" w:rsidRDefault="009E6BF6" w:rsidP="009E6BF6">
      <w:pPr>
        <w:spacing w:before="100" w:beforeAutospacing="1" w:after="100" w:afterAutospacing="1" w:line="276" w:lineRule="auto"/>
        <w:ind w:left="720" w:hanging="720"/>
        <w:jc w:val="both"/>
        <w:rPr>
          <w:rFonts w:ascii="Arial" w:eastAsia="Calibri" w:hAnsi="Arial" w:cs="Arial"/>
        </w:rPr>
      </w:pPr>
      <w:r w:rsidRPr="009E6BF6">
        <w:rPr>
          <w:rFonts w:ascii="Arial" w:eastAsia="Calibri" w:hAnsi="Arial" w:cs="Arial"/>
        </w:rPr>
        <w:t>2)</w:t>
      </w:r>
      <w:r w:rsidRPr="009E6BF6">
        <w:rPr>
          <w:rFonts w:ascii="Arial" w:eastAsia="Calibri" w:hAnsi="Arial" w:cs="Arial"/>
        </w:rPr>
        <w:tab/>
        <w:t>From the information recorded and provided by the PIC, as set out above, I have no basis to suspect any impropriety with the transaction.</w:t>
      </w:r>
    </w:p>
    <w:p w:rsidR="009E6BF6" w:rsidRPr="009E6BF6" w:rsidRDefault="009E6BF6" w:rsidP="00695120">
      <w:pPr>
        <w:rPr>
          <w:rFonts w:ascii="Arial" w:hAnsi="Arial" w:cs="Arial"/>
          <w:b/>
          <w:sz w:val="22"/>
          <w:szCs w:val="22"/>
        </w:rPr>
      </w:pPr>
    </w:p>
    <w:sectPr w:rsidR="009E6BF6" w:rsidRPr="009E6BF6"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E7" w:rsidRDefault="00FB68E7" w:rsidP="00380E88">
      <w:r>
        <w:separator/>
      </w:r>
    </w:p>
  </w:endnote>
  <w:endnote w:type="continuationSeparator" w:id="0">
    <w:p w:rsidR="00FB68E7" w:rsidRDefault="00FB68E7"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E7" w:rsidRDefault="00FB68E7" w:rsidP="00380E88">
      <w:r>
        <w:separator/>
      </w:r>
    </w:p>
  </w:footnote>
  <w:footnote w:type="continuationSeparator" w:id="0">
    <w:p w:rsidR="00FB68E7" w:rsidRDefault="00FB68E7"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712"/>
    <w:multiLevelType w:val="hybridMultilevel"/>
    <w:tmpl w:val="4FF85F94"/>
    <w:lvl w:ilvl="0" w:tplc="69D0E204">
      <w:numFmt w:val="bullet"/>
      <w:lvlText w:val="•"/>
      <w:lvlJc w:val="left"/>
      <w:pPr>
        <w:ind w:left="1440" w:hanging="72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8923F66"/>
    <w:multiLevelType w:val="hybridMultilevel"/>
    <w:tmpl w:val="DD5494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5"/>
  </w:num>
  <w:num w:numId="11">
    <w:abstractNumId w:val="10"/>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32ED"/>
    <w:rsid w:val="001D4937"/>
    <w:rsid w:val="001E3FB5"/>
    <w:rsid w:val="001E6902"/>
    <w:rsid w:val="001F4B50"/>
    <w:rsid w:val="001F7560"/>
    <w:rsid w:val="002065BA"/>
    <w:rsid w:val="00207912"/>
    <w:rsid w:val="0021513D"/>
    <w:rsid w:val="00223863"/>
    <w:rsid w:val="0022502D"/>
    <w:rsid w:val="00230BF6"/>
    <w:rsid w:val="00251791"/>
    <w:rsid w:val="00260251"/>
    <w:rsid w:val="002615EB"/>
    <w:rsid w:val="00262F05"/>
    <w:rsid w:val="002855CE"/>
    <w:rsid w:val="00285EA1"/>
    <w:rsid w:val="0028635F"/>
    <w:rsid w:val="002867DD"/>
    <w:rsid w:val="002927CD"/>
    <w:rsid w:val="002A4157"/>
    <w:rsid w:val="002B3B25"/>
    <w:rsid w:val="002B7345"/>
    <w:rsid w:val="002D104B"/>
    <w:rsid w:val="002D2A4C"/>
    <w:rsid w:val="002D499A"/>
    <w:rsid w:val="002D679B"/>
    <w:rsid w:val="002E4AA0"/>
    <w:rsid w:val="002F6E86"/>
    <w:rsid w:val="00326CF2"/>
    <w:rsid w:val="0033689B"/>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5EA2"/>
    <w:rsid w:val="0046713E"/>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95120"/>
    <w:rsid w:val="006B61B0"/>
    <w:rsid w:val="006C2D5C"/>
    <w:rsid w:val="006D1766"/>
    <w:rsid w:val="006D1B36"/>
    <w:rsid w:val="006D2C61"/>
    <w:rsid w:val="006D2F61"/>
    <w:rsid w:val="007118EA"/>
    <w:rsid w:val="00712E95"/>
    <w:rsid w:val="00726A9C"/>
    <w:rsid w:val="007359BF"/>
    <w:rsid w:val="00743F26"/>
    <w:rsid w:val="00746AA9"/>
    <w:rsid w:val="00751942"/>
    <w:rsid w:val="00751A1E"/>
    <w:rsid w:val="007540E0"/>
    <w:rsid w:val="007544A8"/>
    <w:rsid w:val="0076668B"/>
    <w:rsid w:val="007749D9"/>
    <w:rsid w:val="00780F57"/>
    <w:rsid w:val="00783E1A"/>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4586"/>
    <w:rsid w:val="00876CBB"/>
    <w:rsid w:val="0088688A"/>
    <w:rsid w:val="00891265"/>
    <w:rsid w:val="00893761"/>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E6BF6"/>
    <w:rsid w:val="009F480A"/>
    <w:rsid w:val="00A02200"/>
    <w:rsid w:val="00A15D3C"/>
    <w:rsid w:val="00A23A3E"/>
    <w:rsid w:val="00A337C8"/>
    <w:rsid w:val="00A359DB"/>
    <w:rsid w:val="00A4178F"/>
    <w:rsid w:val="00A45496"/>
    <w:rsid w:val="00A45FE5"/>
    <w:rsid w:val="00A51431"/>
    <w:rsid w:val="00A525F0"/>
    <w:rsid w:val="00A55CB3"/>
    <w:rsid w:val="00A566A2"/>
    <w:rsid w:val="00A5731A"/>
    <w:rsid w:val="00A677C3"/>
    <w:rsid w:val="00A72B9B"/>
    <w:rsid w:val="00A74F7C"/>
    <w:rsid w:val="00A84063"/>
    <w:rsid w:val="00A952EA"/>
    <w:rsid w:val="00AA4ED9"/>
    <w:rsid w:val="00AD00CE"/>
    <w:rsid w:val="00AD1B6E"/>
    <w:rsid w:val="00AD5C9B"/>
    <w:rsid w:val="00AE07DE"/>
    <w:rsid w:val="00B03AF4"/>
    <w:rsid w:val="00B03DD6"/>
    <w:rsid w:val="00B20E37"/>
    <w:rsid w:val="00B24AF2"/>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BE73A7"/>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CD3A14"/>
    <w:rsid w:val="00D01E04"/>
    <w:rsid w:val="00D05765"/>
    <w:rsid w:val="00D17D13"/>
    <w:rsid w:val="00D20E78"/>
    <w:rsid w:val="00D2724B"/>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877E2"/>
    <w:rsid w:val="00E938DE"/>
    <w:rsid w:val="00EA468F"/>
    <w:rsid w:val="00EA6A49"/>
    <w:rsid w:val="00EA792E"/>
    <w:rsid w:val="00EB04E2"/>
    <w:rsid w:val="00EC21DD"/>
    <w:rsid w:val="00EC347E"/>
    <w:rsid w:val="00EC4BF6"/>
    <w:rsid w:val="00ED3A3C"/>
    <w:rsid w:val="00F03C60"/>
    <w:rsid w:val="00F05CB1"/>
    <w:rsid w:val="00F15609"/>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B68E7"/>
    <w:rsid w:val="00FC2064"/>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D29E-347A-4E16-AFA0-7C5DEA99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2020-06-04T17:12:00Z</dcterms:created>
  <dcterms:modified xsi:type="dcterms:W3CDTF">2020-06-04T17:12:00Z</dcterms:modified>
</cp:coreProperties>
</file>