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51" w:rsidRPr="0034705D" w:rsidRDefault="00CE5451">
      <w:pPr>
        <w:pStyle w:val="Heading1"/>
        <w:jc w:val="center"/>
        <w:rPr>
          <w:sz w:val="24"/>
          <w:u w:val="single"/>
        </w:rPr>
      </w:pPr>
      <w:r w:rsidRPr="0034705D">
        <w:rPr>
          <w:sz w:val="24"/>
          <w:u w:val="single"/>
        </w:rPr>
        <w:t>NATIONAL ASSEMBLY</w:t>
      </w:r>
    </w:p>
    <w:p w:rsidR="00CE5451" w:rsidRPr="0034705D" w:rsidRDefault="00CE5451">
      <w:pPr>
        <w:jc w:val="both"/>
        <w:rPr>
          <w:b/>
          <w:sz w:val="24"/>
          <w:u w:val="single"/>
        </w:rPr>
      </w:pPr>
    </w:p>
    <w:p w:rsidR="00CE5451" w:rsidRPr="0034705D" w:rsidRDefault="00CE5451">
      <w:pPr>
        <w:pStyle w:val="BodyText"/>
        <w:rPr>
          <w:b/>
          <w:bCs/>
          <w:sz w:val="24"/>
          <w:u w:val="single"/>
        </w:rPr>
      </w:pPr>
      <w:r w:rsidRPr="0034705D">
        <w:rPr>
          <w:b/>
          <w:bCs/>
          <w:sz w:val="24"/>
          <w:u w:val="single"/>
        </w:rPr>
        <w:t>FOR WRITTEN REPLY</w:t>
      </w:r>
    </w:p>
    <w:p w:rsidR="00CE5451" w:rsidRPr="0034705D" w:rsidRDefault="00CE5451">
      <w:pPr>
        <w:pStyle w:val="BodyText"/>
        <w:rPr>
          <w:b/>
          <w:bCs/>
          <w:sz w:val="24"/>
          <w:u w:val="single"/>
        </w:rPr>
      </w:pPr>
    </w:p>
    <w:p w:rsidR="00CE5451" w:rsidRPr="0034705D" w:rsidRDefault="00CE5451">
      <w:pPr>
        <w:pStyle w:val="BodyText"/>
        <w:rPr>
          <w:b/>
          <w:bCs/>
          <w:sz w:val="24"/>
          <w:u w:val="single"/>
        </w:rPr>
      </w:pPr>
      <w:r w:rsidRPr="0034705D">
        <w:rPr>
          <w:b/>
          <w:bCs/>
          <w:sz w:val="24"/>
          <w:u w:val="single"/>
        </w:rPr>
        <w:t xml:space="preserve">QUESTION NO. </w:t>
      </w:r>
      <w:r>
        <w:rPr>
          <w:b/>
          <w:bCs/>
          <w:sz w:val="24"/>
          <w:u w:val="single"/>
        </w:rPr>
        <w:t>739</w:t>
      </w:r>
    </w:p>
    <w:p w:rsidR="00CE5451" w:rsidRPr="0034705D" w:rsidRDefault="00CE5451">
      <w:pPr>
        <w:pStyle w:val="BodyText"/>
        <w:rPr>
          <w:b/>
          <w:bCs/>
          <w:sz w:val="24"/>
          <w:u w:val="single"/>
        </w:rPr>
      </w:pPr>
    </w:p>
    <w:p w:rsidR="00CE5451" w:rsidRPr="0034705D" w:rsidRDefault="00CE5451">
      <w:pPr>
        <w:pStyle w:val="BodyText"/>
        <w:rPr>
          <w:b/>
          <w:bCs/>
          <w:sz w:val="24"/>
          <w:u w:val="single"/>
        </w:rPr>
      </w:pPr>
      <w:r w:rsidRPr="0034705D">
        <w:rPr>
          <w:b/>
          <w:bCs/>
          <w:sz w:val="24"/>
          <w:u w:val="single"/>
        </w:rPr>
        <w:t xml:space="preserve">DATE OF PUBLICATION IN INTERNAL QUESTION PAPER: </w:t>
      </w:r>
      <w:r>
        <w:rPr>
          <w:b/>
          <w:bCs/>
          <w:sz w:val="24"/>
          <w:u w:val="single"/>
        </w:rPr>
        <w:t>18 MARCH</w:t>
      </w:r>
      <w:r w:rsidRPr="0034705D">
        <w:rPr>
          <w:b/>
          <w:bCs/>
          <w:sz w:val="24"/>
          <w:u w:val="single"/>
        </w:rPr>
        <w:t xml:space="preserve"> 201</w:t>
      </w:r>
      <w:r>
        <w:rPr>
          <w:b/>
          <w:bCs/>
          <w:sz w:val="24"/>
          <w:u w:val="single"/>
        </w:rPr>
        <w:t>6</w:t>
      </w:r>
      <w:r w:rsidRPr="0034705D">
        <w:rPr>
          <w:b/>
          <w:bCs/>
          <w:sz w:val="24"/>
          <w:u w:val="single"/>
        </w:rPr>
        <w:t xml:space="preserve">   </w:t>
      </w:r>
    </w:p>
    <w:p w:rsidR="00CE5451" w:rsidRPr="0034705D" w:rsidRDefault="00CE5451" w:rsidP="006664AE">
      <w:pPr>
        <w:spacing w:after="240"/>
        <w:rPr>
          <w:b/>
          <w:bCs/>
          <w:sz w:val="24"/>
          <w:u w:val="single"/>
        </w:rPr>
      </w:pPr>
      <w:r w:rsidRPr="0034705D">
        <w:rPr>
          <w:b/>
          <w:bCs/>
          <w:sz w:val="24"/>
          <w:u w:val="single"/>
        </w:rPr>
        <w:t xml:space="preserve">(INTERNAL QUESTION PAPER NO. </w:t>
      </w:r>
      <w:r>
        <w:rPr>
          <w:b/>
          <w:bCs/>
          <w:sz w:val="24"/>
          <w:u w:val="single"/>
        </w:rPr>
        <w:t>09</w:t>
      </w:r>
      <w:r w:rsidRPr="0034705D">
        <w:rPr>
          <w:b/>
          <w:bCs/>
          <w:sz w:val="24"/>
          <w:u w:val="single"/>
        </w:rPr>
        <w:t>)</w:t>
      </w:r>
    </w:p>
    <w:p w:rsidR="00CE5451" w:rsidRPr="00A078D4" w:rsidRDefault="00CE5451" w:rsidP="00A078D4">
      <w:pPr>
        <w:spacing w:before="100" w:beforeAutospacing="1" w:after="100" w:afterAutospacing="1"/>
        <w:jc w:val="both"/>
        <w:outlineLvl w:val="0"/>
        <w:rPr>
          <w:b/>
          <w:sz w:val="24"/>
          <w:u w:val="single"/>
        </w:rPr>
      </w:pPr>
      <w:r w:rsidRPr="00A078D4">
        <w:rPr>
          <w:b/>
          <w:sz w:val="24"/>
          <w:u w:val="single"/>
        </w:rPr>
        <w:t>Mr W M Madisha (Cope) to ask the Minister of Health:</w:t>
      </w:r>
    </w:p>
    <w:p w:rsidR="00CE5451" w:rsidRPr="00A078D4" w:rsidRDefault="00CE5451" w:rsidP="00A078D4">
      <w:pPr>
        <w:spacing w:before="100" w:beforeAutospacing="1" w:after="100" w:afterAutospacing="1"/>
        <w:jc w:val="both"/>
        <w:rPr>
          <w:sz w:val="24"/>
        </w:rPr>
      </w:pPr>
      <w:r w:rsidRPr="00A078D4">
        <w:rPr>
          <w:color w:val="000000"/>
          <w:sz w:val="24"/>
        </w:rPr>
        <w:t xml:space="preserve">Whether the Government is pursuing a vigorous policy to detect glaucoma at an early stage so that medical help can be given before any lasting damage occurs; if not, why not; if so, what has been the situation </w:t>
      </w:r>
      <w:r w:rsidRPr="00A078D4">
        <w:rPr>
          <w:sz w:val="24"/>
        </w:rPr>
        <w:t>year</w:t>
      </w:r>
      <w:r w:rsidRPr="00A078D4">
        <w:rPr>
          <w:color w:val="000000"/>
          <w:sz w:val="24"/>
        </w:rPr>
        <w:t xml:space="preserve"> on year during the period 1 June 2009 to 29 February 2016</w:t>
      </w:r>
      <w:r w:rsidRPr="00A078D4">
        <w:rPr>
          <w:sz w:val="24"/>
        </w:rPr>
        <w:t>?</w:t>
      </w:r>
    </w:p>
    <w:p w:rsidR="00CE5451" w:rsidRDefault="00CE5451" w:rsidP="00366E06">
      <w:pPr>
        <w:pStyle w:val="Heading6"/>
        <w:tabs>
          <w:tab w:val="clear" w:pos="660"/>
          <w:tab w:val="clear" w:pos="864"/>
          <w:tab w:val="clear" w:pos="1440"/>
        </w:tabs>
        <w:ind w:left="0" w:firstLine="0"/>
        <w:rPr>
          <w:u w:val="single"/>
        </w:rPr>
      </w:pPr>
      <w:r>
        <w:rPr>
          <w:color w:val="000000"/>
        </w:rPr>
        <w:t>NW857E</w:t>
      </w:r>
      <w:r>
        <w:rPr>
          <w:color w:val="000000"/>
          <w:szCs w:val="20"/>
        </w:rPr>
        <w:t xml:space="preserve"> </w:t>
      </w:r>
    </w:p>
    <w:p w:rsidR="00CE5451" w:rsidRPr="0034705D" w:rsidRDefault="00CE5451" w:rsidP="00C41194">
      <w:pPr>
        <w:rPr>
          <w:b/>
          <w:bCs/>
          <w:sz w:val="24"/>
          <w:u w:val="single"/>
          <w:lang w:val="en-US"/>
        </w:rPr>
      </w:pPr>
      <w:r w:rsidRPr="0034705D">
        <w:rPr>
          <w:b/>
          <w:bCs/>
          <w:sz w:val="24"/>
          <w:u w:val="single"/>
          <w:lang w:val="en-US"/>
        </w:rPr>
        <w:t>REPLY:</w:t>
      </w:r>
    </w:p>
    <w:p w:rsidR="00CE5451" w:rsidRDefault="00CE5451" w:rsidP="005E7BF6">
      <w:pPr>
        <w:jc w:val="both"/>
        <w:rPr>
          <w:sz w:val="24"/>
        </w:rPr>
      </w:pPr>
    </w:p>
    <w:p w:rsidR="00CE5451" w:rsidRDefault="00CE5451" w:rsidP="00E161FB">
      <w:pPr>
        <w:jc w:val="both"/>
        <w:rPr>
          <w:sz w:val="24"/>
        </w:rPr>
      </w:pPr>
      <w:r>
        <w:rPr>
          <w:sz w:val="24"/>
        </w:rPr>
        <w:t>Yes, Government is pursuing a vigorous policy for the early detection of Glaucoma and provision of medical intervention for those who already have the condition. As part of Government’s response to the 1999 Vision 2020 Initiative of the World Health Organisation (WHO) and IAPB, guidelines for Eye Health were developed prioritising the five leading causes of blindness and visual impairment in South Africa, that is Cataract, Glaucoma, Diabetic retinopathy, Childhood blindness and Retractive errors. The following services/activities have taken place as part of a strategy to minimize the impact of eye health conditions and Glaucoma specifically:</w:t>
      </w:r>
    </w:p>
    <w:p w:rsidR="00CE5451" w:rsidRDefault="00CE5451" w:rsidP="00E161FB">
      <w:pPr>
        <w:jc w:val="both"/>
        <w:rPr>
          <w:sz w:val="24"/>
        </w:rPr>
      </w:pPr>
    </w:p>
    <w:p w:rsidR="00CE5451" w:rsidRDefault="00CE5451" w:rsidP="00952EF1">
      <w:pPr>
        <w:numPr>
          <w:ilvl w:val="0"/>
          <w:numId w:val="39"/>
        </w:numPr>
        <w:tabs>
          <w:tab w:val="left" w:pos="993"/>
        </w:tabs>
        <w:ind w:left="993" w:hanging="633"/>
        <w:jc w:val="both"/>
        <w:rPr>
          <w:sz w:val="24"/>
        </w:rPr>
      </w:pPr>
      <w:r>
        <w:rPr>
          <w:sz w:val="24"/>
        </w:rPr>
        <w:t>A symptom-based integrated clinical management Primary Care (PC101) guideline incorporates the detection and management of Glaucoma and other eye care conditions at a Primary Health Care (PHC) level;</w:t>
      </w:r>
    </w:p>
    <w:p w:rsidR="00CE5451" w:rsidRDefault="00CE5451" w:rsidP="00952EF1">
      <w:pPr>
        <w:tabs>
          <w:tab w:val="left" w:pos="993"/>
        </w:tabs>
        <w:ind w:left="993"/>
        <w:jc w:val="both"/>
        <w:rPr>
          <w:sz w:val="24"/>
        </w:rPr>
      </w:pPr>
    </w:p>
    <w:p w:rsidR="00CE5451" w:rsidRDefault="00CE5451" w:rsidP="00952EF1">
      <w:pPr>
        <w:numPr>
          <w:ilvl w:val="0"/>
          <w:numId w:val="39"/>
        </w:numPr>
        <w:tabs>
          <w:tab w:val="left" w:pos="993"/>
        </w:tabs>
        <w:ind w:left="993" w:hanging="633"/>
        <w:jc w:val="both"/>
        <w:rPr>
          <w:sz w:val="24"/>
        </w:rPr>
      </w:pPr>
      <w:r>
        <w:rPr>
          <w:sz w:val="24"/>
        </w:rPr>
        <w:t>Eye Health has been integrated with all other programmes to ensure that eye health is addressed holistically and not as a vertical programme. This allows for the screening of Glaucoma on patients with conditions such as diabetes and hypertension;</w:t>
      </w:r>
    </w:p>
    <w:p w:rsidR="00CE5451" w:rsidRDefault="00CE5451" w:rsidP="00952EF1">
      <w:pPr>
        <w:pStyle w:val="ListParagraph"/>
        <w:rPr>
          <w:sz w:val="24"/>
        </w:rPr>
      </w:pPr>
    </w:p>
    <w:p w:rsidR="00CE5451" w:rsidRDefault="00CE5451" w:rsidP="00952EF1">
      <w:pPr>
        <w:numPr>
          <w:ilvl w:val="0"/>
          <w:numId w:val="39"/>
        </w:numPr>
        <w:tabs>
          <w:tab w:val="left" w:pos="993"/>
        </w:tabs>
        <w:ind w:left="993" w:hanging="633"/>
        <w:jc w:val="both"/>
        <w:rPr>
          <w:sz w:val="24"/>
        </w:rPr>
      </w:pPr>
      <w:r>
        <w:rPr>
          <w:sz w:val="24"/>
        </w:rPr>
        <w:t>Every year, provinces organise a Glaucoma awareness week to raise awareness about the impact of Glaucoma. During the week, screening and health education on Glaucoma is provided. Different mainstream and social media are also utilised to educate the public on Glaucoma. In 2016, Glaucoma awareness week was commemorated during the week of the 6</w:t>
      </w:r>
      <w:r w:rsidRPr="00952EF1">
        <w:rPr>
          <w:sz w:val="24"/>
          <w:vertAlign w:val="superscript"/>
        </w:rPr>
        <w:t>th</w:t>
      </w:r>
      <w:r>
        <w:rPr>
          <w:sz w:val="24"/>
        </w:rPr>
        <w:t xml:space="preserve"> to the 12</w:t>
      </w:r>
      <w:r w:rsidRPr="00952EF1">
        <w:rPr>
          <w:sz w:val="24"/>
          <w:vertAlign w:val="superscript"/>
        </w:rPr>
        <w:t>th</w:t>
      </w:r>
      <w:r>
        <w:rPr>
          <w:sz w:val="24"/>
        </w:rPr>
        <w:t xml:space="preserve"> March 2016; and</w:t>
      </w:r>
    </w:p>
    <w:p w:rsidR="00CE5451" w:rsidRDefault="00CE5451" w:rsidP="00952EF1">
      <w:pPr>
        <w:pStyle w:val="ListParagraph"/>
        <w:rPr>
          <w:sz w:val="24"/>
        </w:rPr>
      </w:pPr>
    </w:p>
    <w:p w:rsidR="00CE5451" w:rsidRDefault="00CE5451" w:rsidP="00952EF1">
      <w:pPr>
        <w:numPr>
          <w:ilvl w:val="0"/>
          <w:numId w:val="39"/>
        </w:numPr>
        <w:tabs>
          <w:tab w:val="left" w:pos="993"/>
        </w:tabs>
        <w:ind w:left="993" w:hanging="633"/>
        <w:jc w:val="both"/>
        <w:rPr>
          <w:sz w:val="24"/>
        </w:rPr>
      </w:pPr>
      <w:r>
        <w:rPr>
          <w:sz w:val="24"/>
        </w:rPr>
        <w:t>The following services are regularly provided at different facilities:</w:t>
      </w:r>
    </w:p>
    <w:p w:rsidR="00CE5451" w:rsidRDefault="00CE5451" w:rsidP="00B16477">
      <w:pPr>
        <w:pStyle w:val="ListParagraph"/>
        <w:rPr>
          <w:sz w:val="24"/>
        </w:rPr>
      </w:pPr>
    </w:p>
    <w:p w:rsidR="00CE5451" w:rsidRDefault="00CE5451" w:rsidP="00B16477">
      <w:pPr>
        <w:numPr>
          <w:ilvl w:val="0"/>
          <w:numId w:val="40"/>
        </w:numPr>
        <w:tabs>
          <w:tab w:val="left" w:pos="1701"/>
        </w:tabs>
        <w:ind w:left="1701" w:hanging="708"/>
        <w:jc w:val="both"/>
        <w:rPr>
          <w:sz w:val="24"/>
        </w:rPr>
      </w:pPr>
      <w:r>
        <w:rPr>
          <w:sz w:val="24"/>
        </w:rPr>
        <w:t>Primary level - screening is conducted by PHC nurses, ophthalmic nurses and optometrists. Suspected cases of Glaucoma are referred to hospitals for further assessments and management;</w:t>
      </w:r>
    </w:p>
    <w:p w:rsidR="00CE5451" w:rsidRDefault="00CE5451" w:rsidP="00B16477">
      <w:pPr>
        <w:tabs>
          <w:tab w:val="left" w:pos="1701"/>
        </w:tabs>
        <w:ind w:left="1701"/>
        <w:jc w:val="both"/>
        <w:rPr>
          <w:sz w:val="24"/>
        </w:rPr>
      </w:pPr>
    </w:p>
    <w:p w:rsidR="00CE5451" w:rsidRPr="00B16477" w:rsidRDefault="00CE5451" w:rsidP="00B16477">
      <w:pPr>
        <w:numPr>
          <w:ilvl w:val="0"/>
          <w:numId w:val="40"/>
        </w:numPr>
        <w:tabs>
          <w:tab w:val="left" w:pos="1701"/>
        </w:tabs>
        <w:ind w:left="1701" w:hanging="708"/>
        <w:jc w:val="both"/>
        <w:rPr>
          <w:sz w:val="24"/>
        </w:rPr>
      </w:pPr>
      <w:r w:rsidRPr="00B16477">
        <w:rPr>
          <w:sz w:val="24"/>
        </w:rPr>
        <w:t>Secondary level – Ophthalmologists and Optometrists screen the eye and provide management for all Glaucoma cases that are detected. Low vision and rehabilitative services are provided to people whose vision has been irreparably damaged.</w:t>
      </w:r>
    </w:p>
    <w:p w:rsidR="00CE5451" w:rsidRDefault="00CE5451" w:rsidP="00B16477">
      <w:pPr>
        <w:pStyle w:val="ListParagraph"/>
        <w:rPr>
          <w:sz w:val="24"/>
        </w:rPr>
      </w:pPr>
    </w:p>
    <w:p w:rsidR="00CE5451" w:rsidRDefault="00CE5451" w:rsidP="00952EF1">
      <w:pPr>
        <w:numPr>
          <w:ilvl w:val="0"/>
          <w:numId w:val="39"/>
        </w:numPr>
        <w:tabs>
          <w:tab w:val="left" w:pos="993"/>
        </w:tabs>
        <w:ind w:left="993" w:hanging="633"/>
        <w:jc w:val="both"/>
        <w:rPr>
          <w:sz w:val="24"/>
        </w:rPr>
      </w:pPr>
      <w:r>
        <w:rPr>
          <w:sz w:val="24"/>
        </w:rPr>
        <w:t>Government has appointed a dedicated eye health person at the National Department of Health to prioritise eye health and develop strategies to eliminate avoidable blindness and visual impairment including the early detection of Glaucoma.</w:t>
      </w:r>
    </w:p>
    <w:p w:rsidR="00CE5451" w:rsidRDefault="00CE5451" w:rsidP="00B16477">
      <w:pPr>
        <w:tabs>
          <w:tab w:val="left" w:pos="1701"/>
        </w:tabs>
        <w:jc w:val="both"/>
        <w:rPr>
          <w:sz w:val="24"/>
        </w:rPr>
      </w:pPr>
    </w:p>
    <w:p w:rsidR="00CE5451" w:rsidRPr="00B16477" w:rsidRDefault="00CE5451" w:rsidP="00B16477">
      <w:pPr>
        <w:jc w:val="both"/>
        <w:rPr>
          <w:sz w:val="24"/>
        </w:rPr>
      </w:pPr>
      <w:r>
        <w:rPr>
          <w:sz w:val="24"/>
        </w:rPr>
        <w:t>No records are available on specific year on year programmes run during the period 01 June 2009 to 29 February 2016.</w:t>
      </w:r>
    </w:p>
    <w:p w:rsidR="00CE5451" w:rsidRDefault="00CE5451" w:rsidP="005E7BF6">
      <w:pPr>
        <w:pStyle w:val="BodyText"/>
        <w:rPr>
          <w:sz w:val="24"/>
          <w:lang w:val="en-GB"/>
        </w:rPr>
      </w:pPr>
    </w:p>
    <w:p w:rsidR="00CE5451" w:rsidRDefault="00CE5451" w:rsidP="005E7BF6">
      <w:pPr>
        <w:pStyle w:val="BodyText"/>
        <w:rPr>
          <w:sz w:val="24"/>
          <w:lang w:val="en-GB"/>
        </w:rPr>
      </w:pPr>
    </w:p>
    <w:p w:rsidR="00CE5451" w:rsidRPr="005E7BF6" w:rsidRDefault="00CE5451" w:rsidP="005E7BF6">
      <w:pPr>
        <w:pStyle w:val="BodyText"/>
        <w:rPr>
          <w:b/>
          <w:bCs/>
          <w:sz w:val="24"/>
          <w:lang w:val="en-GB"/>
        </w:rPr>
      </w:pPr>
      <w:r w:rsidRPr="005E7BF6">
        <w:rPr>
          <w:sz w:val="24"/>
          <w:lang w:val="en-GB"/>
        </w:rPr>
        <w:t>END.</w:t>
      </w:r>
    </w:p>
    <w:sectPr w:rsidR="00CE5451"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51" w:rsidRDefault="00CE5451">
      <w:r>
        <w:separator/>
      </w:r>
    </w:p>
  </w:endnote>
  <w:endnote w:type="continuationSeparator" w:id="0">
    <w:p w:rsidR="00CE5451" w:rsidRDefault="00CE5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51" w:rsidRDefault="00CE545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E5451" w:rsidRDefault="00CE5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451" w:rsidRDefault="00CE5451">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CE5451" w:rsidRDefault="00CE5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51" w:rsidRDefault="00CE5451">
      <w:r>
        <w:separator/>
      </w:r>
    </w:p>
  </w:footnote>
  <w:footnote w:type="continuationSeparator" w:id="0">
    <w:p w:rsidR="00CE5451" w:rsidRDefault="00CE5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37F182E"/>
    <w:multiLevelType w:val="hybridMultilevel"/>
    <w:tmpl w:val="A5CC1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A5266F4"/>
    <w:multiLevelType w:val="hybridMultilevel"/>
    <w:tmpl w:val="1916C4B2"/>
    <w:lvl w:ilvl="0" w:tplc="5DA645FA">
      <w:start w:val="2"/>
      <w:numFmt w:val="bullet"/>
      <w:lvlText w:val="-"/>
      <w:lvlJc w:val="left"/>
      <w:pPr>
        <w:ind w:left="1353" w:hanging="360"/>
      </w:pPr>
      <w:rPr>
        <w:rFonts w:ascii="Arial" w:eastAsia="Times New Roman" w:hAnsi="Aria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6383964"/>
    <w:multiLevelType w:val="hybridMultilevel"/>
    <w:tmpl w:val="E9587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20">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6">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7">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26"/>
  </w:num>
  <w:num w:numId="6">
    <w:abstractNumId w:val="28"/>
  </w:num>
  <w:num w:numId="7">
    <w:abstractNumId w:val="22"/>
  </w:num>
  <w:num w:numId="8">
    <w:abstractNumId w:val="12"/>
  </w:num>
  <w:num w:numId="9">
    <w:abstractNumId w:val="4"/>
  </w:num>
  <w:num w:numId="10">
    <w:abstractNumId w:val="21"/>
  </w:num>
  <w:num w:numId="11">
    <w:abstractNumId w:val="34"/>
  </w:num>
  <w:num w:numId="12">
    <w:abstractNumId w:val="2"/>
  </w:num>
  <w:num w:numId="13">
    <w:abstractNumId w:val="35"/>
  </w:num>
  <w:num w:numId="14">
    <w:abstractNumId w:val="27"/>
  </w:num>
  <w:num w:numId="15">
    <w:abstractNumId w:val="7"/>
  </w:num>
  <w:num w:numId="16">
    <w:abstractNumId w:val="0"/>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1"/>
  </w:num>
  <w:num w:numId="26">
    <w:abstractNumId w:val="18"/>
  </w:num>
  <w:num w:numId="27">
    <w:abstractNumId w:val="36"/>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38"/>
  </w:num>
  <w:num w:numId="33">
    <w:abstractNumId w:val="14"/>
  </w:num>
  <w:num w:numId="34">
    <w:abstractNumId w:val="16"/>
  </w:num>
  <w:num w:numId="35">
    <w:abstractNumId w:val="33"/>
  </w:num>
  <w:num w:numId="36">
    <w:abstractNumId w:val="6"/>
  </w:num>
  <w:num w:numId="37">
    <w:abstractNumId w:val="24"/>
  </w:num>
  <w:num w:numId="38">
    <w:abstractNumId w:val="5"/>
  </w:num>
  <w:num w:numId="39">
    <w:abstractNumId w:val="1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4183B"/>
    <w:rsid w:val="00056AD2"/>
    <w:rsid w:val="00072404"/>
    <w:rsid w:val="0007341B"/>
    <w:rsid w:val="00081C7A"/>
    <w:rsid w:val="0008767D"/>
    <w:rsid w:val="000A20B0"/>
    <w:rsid w:val="000B4AB8"/>
    <w:rsid w:val="000F059B"/>
    <w:rsid w:val="000F3BF5"/>
    <w:rsid w:val="000F50B5"/>
    <w:rsid w:val="001023DD"/>
    <w:rsid w:val="00103056"/>
    <w:rsid w:val="00103544"/>
    <w:rsid w:val="001126D2"/>
    <w:rsid w:val="00134634"/>
    <w:rsid w:val="00150F90"/>
    <w:rsid w:val="001651E2"/>
    <w:rsid w:val="00186E43"/>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07363"/>
    <w:rsid w:val="0051126E"/>
    <w:rsid w:val="005117E9"/>
    <w:rsid w:val="00525127"/>
    <w:rsid w:val="00540171"/>
    <w:rsid w:val="0054370C"/>
    <w:rsid w:val="005444C6"/>
    <w:rsid w:val="00547112"/>
    <w:rsid w:val="00550CF9"/>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D24D7"/>
    <w:rsid w:val="007E6493"/>
    <w:rsid w:val="007E6896"/>
    <w:rsid w:val="007F547F"/>
    <w:rsid w:val="007F6D34"/>
    <w:rsid w:val="00802311"/>
    <w:rsid w:val="008027EE"/>
    <w:rsid w:val="0081272C"/>
    <w:rsid w:val="00815BE6"/>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641E"/>
    <w:rsid w:val="009342E8"/>
    <w:rsid w:val="00952EC0"/>
    <w:rsid w:val="00952EF1"/>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078D4"/>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16477"/>
    <w:rsid w:val="00B2423A"/>
    <w:rsid w:val="00B30D8D"/>
    <w:rsid w:val="00B33E9A"/>
    <w:rsid w:val="00B353AB"/>
    <w:rsid w:val="00B37F60"/>
    <w:rsid w:val="00B41548"/>
    <w:rsid w:val="00B519E0"/>
    <w:rsid w:val="00B561F9"/>
    <w:rsid w:val="00B6102B"/>
    <w:rsid w:val="00B63926"/>
    <w:rsid w:val="00B85B77"/>
    <w:rsid w:val="00B87D92"/>
    <w:rsid w:val="00B9163D"/>
    <w:rsid w:val="00BC6E9C"/>
    <w:rsid w:val="00BC7E1F"/>
    <w:rsid w:val="00BE5AF9"/>
    <w:rsid w:val="00BF35AB"/>
    <w:rsid w:val="00C0227C"/>
    <w:rsid w:val="00C063AA"/>
    <w:rsid w:val="00C26148"/>
    <w:rsid w:val="00C41194"/>
    <w:rsid w:val="00C50944"/>
    <w:rsid w:val="00C71939"/>
    <w:rsid w:val="00C723FE"/>
    <w:rsid w:val="00C82762"/>
    <w:rsid w:val="00C91D4D"/>
    <w:rsid w:val="00CA0E36"/>
    <w:rsid w:val="00CB7B23"/>
    <w:rsid w:val="00CE5451"/>
    <w:rsid w:val="00CF60D1"/>
    <w:rsid w:val="00D034F1"/>
    <w:rsid w:val="00D04106"/>
    <w:rsid w:val="00D05EA8"/>
    <w:rsid w:val="00D05FA5"/>
    <w:rsid w:val="00D06D6D"/>
    <w:rsid w:val="00D07FF1"/>
    <w:rsid w:val="00D21320"/>
    <w:rsid w:val="00D21DC3"/>
    <w:rsid w:val="00D50BCC"/>
    <w:rsid w:val="00D5344B"/>
    <w:rsid w:val="00D5360E"/>
    <w:rsid w:val="00D67753"/>
    <w:rsid w:val="00D75166"/>
    <w:rsid w:val="00D81183"/>
    <w:rsid w:val="00D821B8"/>
    <w:rsid w:val="00D84AEC"/>
    <w:rsid w:val="00D94626"/>
    <w:rsid w:val="00DA3E25"/>
    <w:rsid w:val="00DA6F68"/>
    <w:rsid w:val="00DC1DD2"/>
    <w:rsid w:val="00DC2D05"/>
    <w:rsid w:val="00DC5B90"/>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4558"/>
    <w:rsid w:val="00E85240"/>
    <w:rsid w:val="00EA464E"/>
    <w:rsid w:val="00ED527A"/>
    <w:rsid w:val="00EE56A6"/>
    <w:rsid w:val="00EF7FEE"/>
    <w:rsid w:val="00F006CF"/>
    <w:rsid w:val="00F14236"/>
    <w:rsid w:val="00F2300D"/>
    <w:rsid w:val="00F24479"/>
    <w:rsid w:val="00F3238C"/>
    <w:rsid w:val="00F3409A"/>
    <w:rsid w:val="00F467DC"/>
    <w:rsid w:val="00F50E33"/>
    <w:rsid w:val="00F54CEC"/>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19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6219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F62198"/>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F62198"/>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F62198"/>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F62198"/>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F62198"/>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F62198"/>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F62198"/>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F62198"/>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F62198"/>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F62198"/>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F62198"/>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F62198"/>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F62198"/>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F62198"/>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0880044">
      <w:marLeft w:val="0"/>
      <w:marRight w:val="0"/>
      <w:marTop w:val="0"/>
      <w:marBottom w:val="0"/>
      <w:divBdr>
        <w:top w:val="none" w:sz="0" w:space="0" w:color="auto"/>
        <w:left w:val="none" w:sz="0" w:space="0" w:color="auto"/>
        <w:bottom w:val="none" w:sz="0" w:space="0" w:color="auto"/>
        <w:right w:val="none" w:sz="0" w:space="0" w:color="auto"/>
      </w:divBdr>
    </w:div>
    <w:div w:id="10880045">
      <w:marLeft w:val="0"/>
      <w:marRight w:val="0"/>
      <w:marTop w:val="0"/>
      <w:marBottom w:val="0"/>
      <w:divBdr>
        <w:top w:val="none" w:sz="0" w:space="0" w:color="auto"/>
        <w:left w:val="none" w:sz="0" w:space="0" w:color="auto"/>
        <w:bottom w:val="none" w:sz="0" w:space="0" w:color="auto"/>
        <w:right w:val="none" w:sz="0" w:space="0" w:color="auto"/>
      </w:divBdr>
    </w:div>
    <w:div w:id="10880046">
      <w:marLeft w:val="0"/>
      <w:marRight w:val="0"/>
      <w:marTop w:val="0"/>
      <w:marBottom w:val="0"/>
      <w:divBdr>
        <w:top w:val="none" w:sz="0" w:space="0" w:color="auto"/>
        <w:left w:val="none" w:sz="0" w:space="0" w:color="auto"/>
        <w:bottom w:val="none" w:sz="0" w:space="0" w:color="auto"/>
        <w:right w:val="none" w:sz="0" w:space="0" w:color="auto"/>
      </w:divBdr>
    </w:div>
    <w:div w:id="10880047">
      <w:marLeft w:val="0"/>
      <w:marRight w:val="0"/>
      <w:marTop w:val="0"/>
      <w:marBottom w:val="0"/>
      <w:divBdr>
        <w:top w:val="none" w:sz="0" w:space="0" w:color="auto"/>
        <w:left w:val="none" w:sz="0" w:space="0" w:color="auto"/>
        <w:bottom w:val="none" w:sz="0" w:space="0" w:color="auto"/>
        <w:right w:val="none" w:sz="0" w:space="0" w:color="auto"/>
      </w:divBdr>
    </w:div>
    <w:div w:id="10880048">
      <w:marLeft w:val="0"/>
      <w:marRight w:val="0"/>
      <w:marTop w:val="0"/>
      <w:marBottom w:val="0"/>
      <w:divBdr>
        <w:top w:val="none" w:sz="0" w:space="0" w:color="auto"/>
        <w:left w:val="none" w:sz="0" w:space="0" w:color="auto"/>
        <w:bottom w:val="none" w:sz="0" w:space="0" w:color="auto"/>
        <w:right w:val="none" w:sz="0" w:space="0" w:color="auto"/>
      </w:divBdr>
    </w:div>
    <w:div w:id="10880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422</Words>
  <Characters>2409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2016-04-11T16:30:00Z</cp:lastPrinted>
  <dcterms:created xsi:type="dcterms:W3CDTF">2016-04-12T06:54:00Z</dcterms:created>
  <dcterms:modified xsi:type="dcterms:W3CDTF">2016-04-12T06:54:00Z</dcterms:modified>
</cp:coreProperties>
</file>