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971554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E9672C">
        <w:rPr>
          <w:rFonts w:ascii="Arial" w:hAnsi="Arial" w:cs="Arial"/>
          <w:b/>
          <w:bCs/>
          <w:sz w:val="20"/>
        </w:rPr>
        <w:t>738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E9672C">
        <w:rPr>
          <w:rFonts w:ascii="Arial" w:hAnsi="Arial" w:cs="Arial"/>
          <w:b/>
          <w:bCs/>
          <w:sz w:val="20"/>
        </w:rPr>
        <w:t>6 April</w:t>
      </w:r>
      <w:r w:rsidR="00856D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E9672C">
        <w:rPr>
          <w:rFonts w:ascii="Arial" w:hAnsi="Arial" w:cs="Arial"/>
          <w:sz w:val="20"/>
          <w:szCs w:val="20"/>
        </w:rPr>
        <w:t>738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971554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E9672C">
        <w:rPr>
          <w:rFonts w:ascii="Arial" w:hAnsi="Arial" w:cs="Arial"/>
          <w:b/>
        </w:rPr>
        <w:t>738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E9672C">
        <w:rPr>
          <w:rFonts w:ascii="Arial" w:hAnsi="Arial" w:cs="Arial"/>
          <w:b/>
        </w:rPr>
        <w:t>24</w:t>
      </w:r>
      <w:r w:rsidR="00856D44">
        <w:rPr>
          <w:rFonts w:ascii="Arial" w:hAnsi="Arial" w:cs="Arial"/>
          <w:b/>
        </w:rPr>
        <w:t xml:space="preserve"> MARCH</w:t>
      </w:r>
      <w:r w:rsidR="00DC0DD3">
        <w:rPr>
          <w:rFonts w:ascii="Arial" w:hAnsi="Arial" w:cs="Arial"/>
          <w:b/>
        </w:rPr>
        <w:t xml:space="preserve"> 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856D44" w:rsidRPr="002C3369" w:rsidRDefault="00E9672C" w:rsidP="004941C3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738.</w:t>
      </w:r>
      <w:r>
        <w:rPr>
          <w:rFonts w:ascii="Arial" w:hAnsi="Arial" w:cs="Arial"/>
          <w:b/>
          <w:bCs/>
          <w:lang w:val="en-ZA"/>
        </w:rPr>
        <w:tab/>
      </w:r>
      <w:r w:rsidR="00B818B9" w:rsidRPr="002C3369">
        <w:rPr>
          <w:rFonts w:ascii="Arial" w:hAnsi="Arial" w:cs="Arial"/>
          <w:b/>
          <w:bCs/>
          <w:lang w:val="en-ZA"/>
        </w:rPr>
        <w:t>M</w:t>
      </w:r>
      <w:r w:rsidR="00DE2777">
        <w:rPr>
          <w:rFonts w:ascii="Arial" w:hAnsi="Arial" w:cs="Arial"/>
          <w:b/>
          <w:bCs/>
          <w:lang w:val="en-ZA"/>
        </w:rPr>
        <w:t xml:space="preserve">r </w:t>
      </w:r>
      <w:r w:rsidR="003709B8">
        <w:rPr>
          <w:rFonts w:ascii="Arial" w:hAnsi="Arial" w:cs="Arial"/>
          <w:b/>
          <w:bCs/>
          <w:lang w:val="en-ZA"/>
        </w:rPr>
        <w:t>E J Marais</w:t>
      </w:r>
      <w:r w:rsidR="00B72486" w:rsidRPr="002C3369">
        <w:rPr>
          <w:rFonts w:ascii="Arial" w:hAnsi="Arial" w:cs="Arial"/>
          <w:b/>
          <w:bCs/>
          <w:lang w:val="en-ZA"/>
        </w:rPr>
        <w:t xml:space="preserve"> (DA)</w:t>
      </w:r>
      <w:r w:rsidR="00856D44" w:rsidRPr="002C3369">
        <w:rPr>
          <w:rFonts w:ascii="Arial" w:hAnsi="Arial" w:cs="Arial"/>
          <w:b/>
          <w:bCs/>
          <w:lang w:val="en-ZA"/>
        </w:rPr>
        <w:t xml:space="preserve"> to ask the Minister of Public Enterprises:</w:t>
      </w:r>
    </w:p>
    <w:p w:rsidR="00E9672C" w:rsidRPr="00E9672C" w:rsidRDefault="00E9672C" w:rsidP="00E9672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</w:rPr>
        <w:t>(1)</w:t>
      </w:r>
      <w:r>
        <w:rPr>
          <w:rFonts w:ascii="Arial" w:hAnsi="Arial" w:cs="Arial"/>
          <w:bCs/>
        </w:rPr>
        <w:tab/>
      </w:r>
      <w:r w:rsidRPr="00E9672C">
        <w:rPr>
          <w:rFonts w:ascii="Arial" w:hAnsi="Arial" w:cs="Arial"/>
          <w:bCs/>
          <w:lang w:val="en-ZA"/>
        </w:rPr>
        <w:t>Whether the (a) community and (b) Mossel Bay Local Municipality were consulted before the issuing of a tender by Transnet for conducting activities on portions of Erf 12459 and Erf 12460, known as the Mossel Bay Yacht and Boat Club, including the walk-on-moorings; if not, in each case, why not; if so, what are the full details of the public participation process that was followed in each case;</w:t>
      </w:r>
    </w:p>
    <w:p w:rsidR="00E9672C" w:rsidRPr="00E9672C" w:rsidRDefault="00E9672C" w:rsidP="00E9672C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Cs/>
          <w:lang w:val="en-ZA"/>
        </w:rPr>
      </w:pPr>
      <w:r w:rsidRPr="00E9672C">
        <w:rPr>
          <w:rFonts w:ascii="Arial" w:hAnsi="Arial" w:cs="Arial"/>
          <w:bCs/>
          <w:lang w:val="en-ZA"/>
        </w:rPr>
        <w:t>(2)     </w:t>
      </w:r>
      <w:r>
        <w:rPr>
          <w:rFonts w:ascii="Arial" w:hAnsi="Arial" w:cs="Arial"/>
          <w:bCs/>
          <w:lang w:val="en-ZA"/>
        </w:rPr>
        <w:tab/>
        <w:t>W</w:t>
      </w:r>
      <w:r w:rsidRPr="00E9672C">
        <w:rPr>
          <w:rFonts w:ascii="Arial" w:hAnsi="Arial" w:cs="Arial"/>
          <w:bCs/>
          <w:lang w:val="en-ZA"/>
        </w:rPr>
        <w:t>hat (a) are the full details of the business plan of the successful bidder and (b) is the current status of the transfer of operations to the successful bidder;</w:t>
      </w:r>
    </w:p>
    <w:p w:rsidR="00E9672C" w:rsidRPr="00E9672C" w:rsidRDefault="00E9672C" w:rsidP="00E9672C">
      <w:pPr>
        <w:spacing w:before="100" w:beforeAutospacing="1" w:after="100" w:afterAutospacing="1" w:line="276" w:lineRule="auto"/>
        <w:ind w:left="1440" w:hanging="1440"/>
        <w:jc w:val="both"/>
        <w:rPr>
          <w:rFonts w:ascii="Arial" w:hAnsi="Arial" w:cs="Arial"/>
          <w:bCs/>
          <w:lang w:val="en-ZA"/>
        </w:rPr>
      </w:pPr>
      <w:r w:rsidRPr="00E9672C">
        <w:rPr>
          <w:rFonts w:ascii="Arial" w:hAnsi="Arial" w:cs="Arial"/>
          <w:bCs/>
          <w:lang w:val="en-ZA"/>
        </w:rPr>
        <w:t>(3)      </w:t>
      </w:r>
      <w:r>
        <w:rPr>
          <w:rFonts w:ascii="Arial" w:hAnsi="Arial" w:cs="Arial"/>
          <w:bCs/>
          <w:lang w:val="en-ZA"/>
        </w:rPr>
        <w:t>Whether she will make a statement regarding the matter? NW797E</w:t>
      </w:r>
    </w:p>
    <w:p w:rsidR="00B72486" w:rsidRDefault="00B72486" w:rsidP="00E9672C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252FF" w:rsidRPr="00B62342" w:rsidRDefault="007252FF" w:rsidP="006C7F97">
      <w:pPr>
        <w:jc w:val="both"/>
        <w:rPr>
          <w:rFonts w:ascii="Arial" w:hAnsi="Arial" w:cs="Arial"/>
          <w:b/>
          <w:bCs/>
        </w:rPr>
      </w:pPr>
      <w:r w:rsidRPr="00B62342">
        <w:rPr>
          <w:rFonts w:ascii="Arial" w:hAnsi="Arial" w:cs="Arial"/>
          <w:b/>
          <w:bCs/>
        </w:rPr>
        <w:t>Reply:</w:t>
      </w:r>
    </w:p>
    <w:p w:rsidR="00A13546" w:rsidRPr="002C3369" w:rsidRDefault="00A13546" w:rsidP="00A13546">
      <w:pPr>
        <w:jc w:val="both"/>
        <w:rPr>
          <w:rFonts w:ascii="Arial" w:hAnsi="Arial" w:cs="Arial"/>
          <w:bCs/>
        </w:rPr>
      </w:pPr>
    </w:p>
    <w:p w:rsidR="00E9672C" w:rsidRDefault="00E9672C" w:rsidP="00E9672C">
      <w:pPr>
        <w:pStyle w:val="ListParagraph"/>
        <w:spacing w:after="0" w:line="36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>
        <w:rPr>
          <w:rFonts w:ascii="Arial" w:hAnsi="Arial" w:cs="Arial"/>
          <w:sz w:val="24"/>
          <w:szCs w:val="24"/>
        </w:rPr>
        <w:tab/>
      </w:r>
      <w:r w:rsidRPr="00E9672C">
        <w:rPr>
          <w:rFonts w:ascii="Arial" w:hAnsi="Arial" w:cs="Arial"/>
          <w:sz w:val="24"/>
          <w:szCs w:val="24"/>
        </w:rPr>
        <w:t>The advert was placed in the local newspaper (Mossel Bay Advertiser) on the 06 May 2016.</w:t>
      </w:r>
    </w:p>
    <w:p w:rsidR="00E9672C" w:rsidRPr="00E9672C" w:rsidRDefault="00E9672C" w:rsidP="00E9672C">
      <w:pPr>
        <w:pStyle w:val="ListParagraph"/>
        <w:spacing w:after="0" w:line="360" w:lineRule="auto"/>
        <w:ind w:left="1440" w:hanging="1440"/>
        <w:rPr>
          <w:rFonts w:ascii="Arial" w:hAnsi="Arial" w:cs="Arial"/>
          <w:sz w:val="24"/>
          <w:szCs w:val="24"/>
        </w:rPr>
      </w:pPr>
    </w:p>
    <w:p w:rsidR="00E9672C" w:rsidRP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</w:r>
      <w:r w:rsidRPr="00E9672C">
        <w:rPr>
          <w:rFonts w:ascii="Arial" w:hAnsi="Arial" w:cs="Arial"/>
        </w:rPr>
        <w:t xml:space="preserve">It is not part of Transnet leasing Policy to consult the Local Municipalities when Transnet premises </w:t>
      </w:r>
      <w:r>
        <w:rPr>
          <w:rFonts w:ascii="Arial" w:hAnsi="Arial" w:cs="Arial"/>
        </w:rPr>
        <w:t>are</w:t>
      </w:r>
      <w:r w:rsidRPr="00E9672C">
        <w:rPr>
          <w:rFonts w:ascii="Arial" w:hAnsi="Arial" w:cs="Arial"/>
        </w:rPr>
        <w:t xml:space="preserve"> advertised for leasing. The premises were advertised for leasing in an open, fair, equitable and transparent process.</w:t>
      </w:r>
    </w:p>
    <w:p w:rsidR="00E9672C" w:rsidRPr="00E9672C" w:rsidRDefault="00E9672C" w:rsidP="00E9672C">
      <w:pPr>
        <w:spacing w:line="360" w:lineRule="auto"/>
        <w:ind w:left="360"/>
        <w:rPr>
          <w:rFonts w:ascii="Arial" w:hAnsi="Arial" w:cs="Arial"/>
        </w:rPr>
      </w:pPr>
    </w:p>
    <w:p w:rsid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  <w:r w:rsidRPr="00E9672C">
        <w:rPr>
          <w:rFonts w:ascii="Arial" w:hAnsi="Arial" w:cs="Arial"/>
        </w:rPr>
        <w:t xml:space="preserve">(2)(a) </w:t>
      </w:r>
      <w:r>
        <w:rPr>
          <w:rFonts w:ascii="Arial" w:hAnsi="Arial" w:cs="Arial"/>
        </w:rPr>
        <w:tab/>
      </w:r>
      <w:r w:rsidRPr="00E9672C">
        <w:rPr>
          <w:rFonts w:ascii="Arial" w:hAnsi="Arial" w:cs="Arial"/>
        </w:rPr>
        <w:t>As this is commercially sensitive information to the successful bidder, consent must first be sought prior to disclosing this information.</w:t>
      </w:r>
    </w:p>
    <w:p w:rsidR="00E9672C" w:rsidRP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</w:p>
    <w:p w:rsid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</w:r>
      <w:r w:rsidRPr="00E9672C">
        <w:rPr>
          <w:rFonts w:ascii="Arial" w:hAnsi="Arial" w:cs="Arial"/>
        </w:rPr>
        <w:t>No transfer of operations has materialized because the current operator MBYBC refused to vacate the premises.</w:t>
      </w:r>
    </w:p>
    <w:p w:rsid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</w:p>
    <w:p w:rsidR="00E9672C" w:rsidRPr="00E9672C" w:rsidRDefault="00E9672C" w:rsidP="00E9672C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C33F7F">
        <w:rPr>
          <w:rFonts w:ascii="Arial" w:hAnsi="Arial" w:cs="Arial"/>
        </w:rPr>
        <w:t>No. Sufficient information are provided in the above answer. H</w:t>
      </w:r>
      <w:r w:rsidRPr="00E9672C">
        <w:rPr>
          <w:rFonts w:ascii="Arial" w:hAnsi="Arial" w:cs="Arial"/>
        </w:rPr>
        <w:t xml:space="preserve">owever interested parties are welcome to ask </w:t>
      </w:r>
      <w:r w:rsidR="00C33F7F">
        <w:rPr>
          <w:rFonts w:ascii="Arial" w:hAnsi="Arial" w:cs="Arial"/>
        </w:rPr>
        <w:t xml:space="preserve">for additional information </w:t>
      </w:r>
      <w:r w:rsidRPr="00E9672C">
        <w:rPr>
          <w:rFonts w:ascii="Arial" w:hAnsi="Arial" w:cs="Arial"/>
        </w:rPr>
        <w:t>through the relevant offices.</w:t>
      </w:r>
    </w:p>
    <w:p w:rsidR="00E9672C" w:rsidRPr="00E9672C" w:rsidRDefault="00E9672C" w:rsidP="00E9672C">
      <w:pPr>
        <w:spacing w:line="276" w:lineRule="auto"/>
        <w:rPr>
          <w:rFonts w:ascii="Calibri" w:hAnsi="Calibri"/>
        </w:rPr>
      </w:pPr>
    </w:p>
    <w:p w:rsidR="00E9672C" w:rsidRPr="00E9672C" w:rsidRDefault="00E9672C" w:rsidP="00E9672C">
      <w:pPr>
        <w:spacing w:line="276" w:lineRule="auto"/>
        <w:rPr>
          <w:rFonts w:ascii="Calibri" w:hAnsi="Calibri"/>
        </w:rPr>
      </w:pPr>
    </w:p>
    <w:p w:rsidR="00E9672C" w:rsidRPr="00E9672C" w:rsidRDefault="00E9672C" w:rsidP="00E9672C">
      <w:pPr>
        <w:spacing w:line="276" w:lineRule="auto"/>
        <w:rPr>
          <w:rFonts w:ascii="Calibri" w:hAnsi="Calibri"/>
        </w:rPr>
      </w:pPr>
    </w:p>
    <w:p w:rsidR="00147ADE" w:rsidRDefault="00147ADE" w:rsidP="00147ADE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Tahoma" w:hAnsi="Tahoma" w:cs="Tahoma"/>
        </w:rPr>
      </w:pPr>
    </w:p>
    <w:p w:rsidR="00856D44" w:rsidRDefault="00856D44" w:rsidP="00856D44">
      <w:pPr>
        <w:pStyle w:val="ListParagraph"/>
        <w:spacing w:after="120"/>
        <w:ind w:left="426"/>
        <w:jc w:val="both"/>
        <w:rPr>
          <w:b/>
        </w:rPr>
      </w:pPr>
    </w:p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p w:rsidR="00B72486" w:rsidRPr="00EA3DFB" w:rsidRDefault="00B72486" w:rsidP="006C7F97">
      <w:pPr>
        <w:jc w:val="both"/>
        <w:rPr>
          <w:rFonts w:ascii="Arial" w:hAnsi="Arial" w:cs="Arial"/>
          <w:b/>
        </w:rPr>
      </w:pPr>
    </w:p>
    <w:sectPr w:rsidR="00B72486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C0" w:rsidRDefault="00E928C0" w:rsidP="002F7B6C">
      <w:r>
        <w:separator/>
      </w:r>
    </w:p>
  </w:endnote>
  <w:endnote w:type="continuationSeparator" w:id="0">
    <w:p w:rsidR="00E928C0" w:rsidRDefault="00E928C0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E928C0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C0" w:rsidRDefault="00E928C0" w:rsidP="002F7B6C">
      <w:r>
        <w:separator/>
      </w:r>
    </w:p>
  </w:footnote>
  <w:footnote w:type="continuationSeparator" w:id="0">
    <w:p w:rsidR="00E928C0" w:rsidRDefault="00E928C0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E47"/>
    <w:multiLevelType w:val="hybridMultilevel"/>
    <w:tmpl w:val="1F20521E"/>
    <w:lvl w:ilvl="0" w:tplc="633ED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3FC"/>
    <w:multiLevelType w:val="hybridMultilevel"/>
    <w:tmpl w:val="5E02D264"/>
    <w:lvl w:ilvl="0" w:tplc="FCFE42D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0A70"/>
    <w:multiLevelType w:val="hybridMultilevel"/>
    <w:tmpl w:val="47805098"/>
    <w:lvl w:ilvl="0" w:tplc="02921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319D3"/>
    <w:multiLevelType w:val="hybridMultilevel"/>
    <w:tmpl w:val="A6A81CD0"/>
    <w:lvl w:ilvl="0" w:tplc="B9AC8D42">
      <w:start w:val="3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753254A"/>
    <w:multiLevelType w:val="hybridMultilevel"/>
    <w:tmpl w:val="914226CA"/>
    <w:lvl w:ilvl="0" w:tplc="AB5203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249C8"/>
    <w:multiLevelType w:val="hybridMultilevel"/>
    <w:tmpl w:val="F574EFB8"/>
    <w:lvl w:ilvl="0" w:tplc="9EF6B4CE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47ADE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B5E1F"/>
    <w:rsid w:val="001D6636"/>
    <w:rsid w:val="001E36FF"/>
    <w:rsid w:val="001F68BA"/>
    <w:rsid w:val="001F720D"/>
    <w:rsid w:val="00202E8D"/>
    <w:rsid w:val="00204BA5"/>
    <w:rsid w:val="00205793"/>
    <w:rsid w:val="002102C5"/>
    <w:rsid w:val="00226482"/>
    <w:rsid w:val="00231713"/>
    <w:rsid w:val="00236A8D"/>
    <w:rsid w:val="00251886"/>
    <w:rsid w:val="00252C22"/>
    <w:rsid w:val="00253EEE"/>
    <w:rsid w:val="002558F8"/>
    <w:rsid w:val="00262CCB"/>
    <w:rsid w:val="002860E0"/>
    <w:rsid w:val="002945C8"/>
    <w:rsid w:val="002A2992"/>
    <w:rsid w:val="002C183F"/>
    <w:rsid w:val="002C219A"/>
    <w:rsid w:val="002C3369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09B8"/>
    <w:rsid w:val="00375892"/>
    <w:rsid w:val="003828D9"/>
    <w:rsid w:val="0039441D"/>
    <w:rsid w:val="00397F90"/>
    <w:rsid w:val="003A0568"/>
    <w:rsid w:val="003A7F30"/>
    <w:rsid w:val="003B107C"/>
    <w:rsid w:val="003E19BD"/>
    <w:rsid w:val="003E4CFD"/>
    <w:rsid w:val="003F04C2"/>
    <w:rsid w:val="004278AA"/>
    <w:rsid w:val="0046734D"/>
    <w:rsid w:val="00470635"/>
    <w:rsid w:val="00493249"/>
    <w:rsid w:val="004941C3"/>
    <w:rsid w:val="004A79CE"/>
    <w:rsid w:val="004B635B"/>
    <w:rsid w:val="004C4CB3"/>
    <w:rsid w:val="004C5539"/>
    <w:rsid w:val="004D461D"/>
    <w:rsid w:val="004D772A"/>
    <w:rsid w:val="004E1FD7"/>
    <w:rsid w:val="004E3AE1"/>
    <w:rsid w:val="005007A5"/>
    <w:rsid w:val="005047F1"/>
    <w:rsid w:val="00522118"/>
    <w:rsid w:val="005240E0"/>
    <w:rsid w:val="00530AF1"/>
    <w:rsid w:val="0053721D"/>
    <w:rsid w:val="00541AB0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5F2D94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6CAA"/>
    <w:rsid w:val="006C24C3"/>
    <w:rsid w:val="006C3A71"/>
    <w:rsid w:val="006C63EE"/>
    <w:rsid w:val="006C7F97"/>
    <w:rsid w:val="006E0341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B2A"/>
    <w:rsid w:val="00770C6C"/>
    <w:rsid w:val="007721D8"/>
    <w:rsid w:val="007776BB"/>
    <w:rsid w:val="007821F5"/>
    <w:rsid w:val="00794BA1"/>
    <w:rsid w:val="00796B78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A124E"/>
    <w:rsid w:val="008A25CE"/>
    <w:rsid w:val="008E0C4E"/>
    <w:rsid w:val="008F31BE"/>
    <w:rsid w:val="008F4E54"/>
    <w:rsid w:val="00900509"/>
    <w:rsid w:val="00933A9C"/>
    <w:rsid w:val="00956CC7"/>
    <w:rsid w:val="00971554"/>
    <w:rsid w:val="0097772A"/>
    <w:rsid w:val="00983134"/>
    <w:rsid w:val="00983745"/>
    <w:rsid w:val="009D0942"/>
    <w:rsid w:val="009D3ED9"/>
    <w:rsid w:val="009E12E1"/>
    <w:rsid w:val="009E4929"/>
    <w:rsid w:val="009F5322"/>
    <w:rsid w:val="009F6CDC"/>
    <w:rsid w:val="00A10673"/>
    <w:rsid w:val="00A13546"/>
    <w:rsid w:val="00A1552C"/>
    <w:rsid w:val="00A22CA5"/>
    <w:rsid w:val="00A46FB4"/>
    <w:rsid w:val="00A61DC4"/>
    <w:rsid w:val="00A63EEE"/>
    <w:rsid w:val="00A675CD"/>
    <w:rsid w:val="00A71193"/>
    <w:rsid w:val="00A82983"/>
    <w:rsid w:val="00A940D5"/>
    <w:rsid w:val="00A96A18"/>
    <w:rsid w:val="00A96A47"/>
    <w:rsid w:val="00AA2FC2"/>
    <w:rsid w:val="00AB1C3D"/>
    <w:rsid w:val="00AB609C"/>
    <w:rsid w:val="00AC40F3"/>
    <w:rsid w:val="00AD1830"/>
    <w:rsid w:val="00AE041D"/>
    <w:rsid w:val="00B06002"/>
    <w:rsid w:val="00B21B4E"/>
    <w:rsid w:val="00B329AC"/>
    <w:rsid w:val="00B4224B"/>
    <w:rsid w:val="00B52D1A"/>
    <w:rsid w:val="00B62342"/>
    <w:rsid w:val="00B64C51"/>
    <w:rsid w:val="00B65996"/>
    <w:rsid w:val="00B72486"/>
    <w:rsid w:val="00B818B9"/>
    <w:rsid w:val="00B84C5C"/>
    <w:rsid w:val="00B86DE5"/>
    <w:rsid w:val="00B91B50"/>
    <w:rsid w:val="00B977DB"/>
    <w:rsid w:val="00BC2946"/>
    <w:rsid w:val="00BD652C"/>
    <w:rsid w:val="00BE2C89"/>
    <w:rsid w:val="00C02B81"/>
    <w:rsid w:val="00C05B52"/>
    <w:rsid w:val="00C163FA"/>
    <w:rsid w:val="00C2147A"/>
    <w:rsid w:val="00C21C8D"/>
    <w:rsid w:val="00C33AC7"/>
    <w:rsid w:val="00C33F7F"/>
    <w:rsid w:val="00C34EA5"/>
    <w:rsid w:val="00C35B67"/>
    <w:rsid w:val="00C35C85"/>
    <w:rsid w:val="00C36C5A"/>
    <w:rsid w:val="00C37C01"/>
    <w:rsid w:val="00C414EF"/>
    <w:rsid w:val="00C673A6"/>
    <w:rsid w:val="00C9463B"/>
    <w:rsid w:val="00CA09C4"/>
    <w:rsid w:val="00CB5861"/>
    <w:rsid w:val="00CB5C46"/>
    <w:rsid w:val="00CB74D7"/>
    <w:rsid w:val="00CC4BAD"/>
    <w:rsid w:val="00CE514E"/>
    <w:rsid w:val="00CE6D28"/>
    <w:rsid w:val="00CF5106"/>
    <w:rsid w:val="00CF5D4B"/>
    <w:rsid w:val="00D01AC9"/>
    <w:rsid w:val="00D03979"/>
    <w:rsid w:val="00D042B8"/>
    <w:rsid w:val="00D25ED9"/>
    <w:rsid w:val="00D277B1"/>
    <w:rsid w:val="00D301BD"/>
    <w:rsid w:val="00D37BD8"/>
    <w:rsid w:val="00D4715B"/>
    <w:rsid w:val="00D60634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2777"/>
    <w:rsid w:val="00DF0B46"/>
    <w:rsid w:val="00DF5BDD"/>
    <w:rsid w:val="00DF5F61"/>
    <w:rsid w:val="00E21D6C"/>
    <w:rsid w:val="00E30CC9"/>
    <w:rsid w:val="00E34EC5"/>
    <w:rsid w:val="00E418EB"/>
    <w:rsid w:val="00E569CD"/>
    <w:rsid w:val="00E727A7"/>
    <w:rsid w:val="00E72CCA"/>
    <w:rsid w:val="00E83DB6"/>
    <w:rsid w:val="00E9248E"/>
    <w:rsid w:val="00E928C0"/>
    <w:rsid w:val="00E92965"/>
    <w:rsid w:val="00E9672C"/>
    <w:rsid w:val="00EA3573"/>
    <w:rsid w:val="00EA3DFB"/>
    <w:rsid w:val="00EA6871"/>
    <w:rsid w:val="00ED3319"/>
    <w:rsid w:val="00EE1975"/>
    <w:rsid w:val="00EE4B89"/>
    <w:rsid w:val="00EF5F14"/>
    <w:rsid w:val="00F24B6C"/>
    <w:rsid w:val="00F33528"/>
    <w:rsid w:val="00F36811"/>
    <w:rsid w:val="00F544FA"/>
    <w:rsid w:val="00F75EA0"/>
    <w:rsid w:val="00F80BD9"/>
    <w:rsid w:val="00F968DE"/>
    <w:rsid w:val="00FA4243"/>
    <w:rsid w:val="00FB043B"/>
    <w:rsid w:val="00FB0CBE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2433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2017-03-31T11:56:00Z</cp:lastPrinted>
  <dcterms:created xsi:type="dcterms:W3CDTF">2017-04-19T09:26:00Z</dcterms:created>
  <dcterms:modified xsi:type="dcterms:W3CDTF">2017-04-19T09:26:00Z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00000000BC095E7D7A071E45AEB31986C17B1DABC4DD7300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