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B34E0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B34E09" w:rsidP="00B34E0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B34E09" w:rsidP="00B34E0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5A29A2">
        <w:rPr>
          <w:rFonts w:ascii="Arial" w:eastAsia="Calibri" w:hAnsi="Arial" w:cs="Arial"/>
          <w:b/>
          <w:bCs/>
          <w:lang w:val="en-GB"/>
        </w:rPr>
        <w:t>727</w:t>
      </w:r>
    </w:p>
    <w:p w:rsidR="002E7253" w:rsidRPr="00B34E09" w:rsidRDefault="002E7253" w:rsidP="00B34E0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34E0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FB2C7F" w:rsidRPr="00B34E09">
        <w:rPr>
          <w:rFonts w:ascii="Arial" w:eastAsia="Calibri" w:hAnsi="Arial" w:cs="Arial"/>
          <w:b/>
          <w:bCs/>
          <w:lang w:val="en-GB"/>
        </w:rPr>
        <w:t>3</w:t>
      </w:r>
      <w:r w:rsidR="004865D0" w:rsidRPr="00B34E09">
        <w:rPr>
          <w:rFonts w:ascii="Arial" w:eastAsia="Calibri" w:hAnsi="Arial" w:cs="Arial"/>
          <w:b/>
          <w:bCs/>
          <w:lang w:val="en-GB"/>
        </w:rPr>
        <w:t>0</w:t>
      </w:r>
      <w:r w:rsidR="00B34E09" w:rsidRPr="00B34E09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B34E09">
        <w:rPr>
          <w:rFonts w:ascii="Arial" w:eastAsia="Calibri" w:hAnsi="Arial" w:cs="Arial"/>
          <w:b/>
          <w:bCs/>
          <w:lang w:val="en-GB"/>
        </w:rPr>
        <w:t>201</w:t>
      </w:r>
      <w:r w:rsidR="00121378" w:rsidRPr="00B34E09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B34E09" w:rsidRDefault="00791471" w:rsidP="00B34E0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B34E09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34AC6" w:rsidRPr="00B34E09">
        <w:rPr>
          <w:rFonts w:ascii="Arial" w:eastAsia="Calibri" w:hAnsi="Arial" w:cs="Arial"/>
          <w:b/>
          <w:bCs/>
          <w:lang w:val="en-GB"/>
        </w:rPr>
        <w:t>6</w:t>
      </w:r>
      <w:r w:rsidR="00FB2C7F" w:rsidRPr="00B34E09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B34E09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B34E09">
        <w:rPr>
          <w:rFonts w:ascii="Arial" w:eastAsia="Calibri" w:hAnsi="Arial" w:cs="Arial"/>
          <w:b/>
          <w:bCs/>
          <w:lang w:val="en-GB"/>
        </w:rPr>
        <w:t>201</w:t>
      </w:r>
      <w:r w:rsidR="00121378" w:rsidRPr="00B34E09">
        <w:rPr>
          <w:rFonts w:ascii="Arial" w:eastAsia="Calibri" w:hAnsi="Arial" w:cs="Arial"/>
          <w:b/>
          <w:bCs/>
          <w:lang w:val="en-GB"/>
        </w:rPr>
        <w:t>9</w:t>
      </w:r>
    </w:p>
    <w:p w:rsidR="005A29A2" w:rsidRPr="005A29A2" w:rsidRDefault="005A29A2" w:rsidP="005A29A2">
      <w:pPr>
        <w:spacing w:before="120" w:after="120" w:line="360" w:lineRule="auto"/>
        <w:jc w:val="both"/>
        <w:rPr>
          <w:rFonts w:eastAsia="Calibri"/>
          <w:b/>
          <w:highlight w:val="yellow"/>
          <w:lang w:val="en-ZA"/>
        </w:rPr>
      </w:pPr>
      <w:r w:rsidRPr="005A29A2">
        <w:rPr>
          <w:rFonts w:ascii="Arial" w:hAnsi="Arial" w:cs="Arial"/>
          <w:b/>
          <w:bCs/>
          <w:lang w:val="en-ZA"/>
        </w:rPr>
        <w:t>Mr M S Malatsi (DA) to ask the Minister of Justice and Correctional Services</w:t>
      </w:r>
      <w:r w:rsidRPr="005A29A2">
        <w:rPr>
          <w:rFonts w:ascii="Arial" w:hAnsi="Arial" w:cs="Arial"/>
          <w:b/>
          <w:bCs/>
          <w:lang w:val="en-ZA"/>
        </w:rPr>
        <w:fldChar w:fldCharType="begin"/>
      </w:r>
      <w:r w:rsidRPr="005A29A2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5A29A2">
        <w:rPr>
          <w:rFonts w:ascii="Arial" w:hAnsi="Arial" w:cs="Arial"/>
          <w:b/>
          <w:bCs/>
          <w:lang w:val="en-ZA"/>
        </w:rPr>
        <w:fldChar w:fldCharType="end"/>
      </w:r>
      <w:r w:rsidRPr="005A29A2">
        <w:rPr>
          <w:rFonts w:ascii="Arial" w:hAnsi="Arial" w:cs="Arial"/>
          <w:b/>
          <w:bCs/>
          <w:lang w:val="en-ZA"/>
        </w:rPr>
        <w:t>:</w:t>
      </w:r>
    </w:p>
    <w:p w:rsidR="005A29A2" w:rsidRDefault="005A29A2" w:rsidP="005A29A2">
      <w:pPr>
        <w:spacing w:before="100" w:beforeAutospacing="1" w:after="100" w:afterAutospacing="1" w:line="360" w:lineRule="auto"/>
        <w:ind w:firstLine="11"/>
        <w:jc w:val="both"/>
        <w:rPr>
          <w:rFonts w:ascii="Arial" w:eastAsia="Calibri" w:hAnsi="Arial" w:cs="Arial"/>
          <w:lang w:val="en-ZA"/>
        </w:rPr>
      </w:pPr>
      <w:r w:rsidRPr="005A29A2">
        <w:rPr>
          <w:rFonts w:ascii="Arial" w:eastAsia="Calibri" w:hAnsi="Arial" w:cs="Arial"/>
          <w:lang w:val="en-ZA"/>
        </w:rPr>
        <w:t>What is the (a) total cost and (b) detailed breakdown of the cost incurred since the establishment of the Commission of Inquiry into tax administration and governance by</w:t>
      </w:r>
      <w:r>
        <w:rPr>
          <w:rFonts w:ascii="Arial" w:eastAsia="Calibri" w:hAnsi="Arial" w:cs="Arial"/>
          <w:lang w:val="en-ZA"/>
        </w:rPr>
        <w:t xml:space="preserve"> the SA Revenue Services?</w:t>
      </w:r>
      <w:r>
        <w:rPr>
          <w:rFonts w:ascii="Arial" w:eastAsia="Calibri" w:hAnsi="Arial" w:cs="Arial"/>
          <w:lang w:val="en-ZA"/>
        </w:rPr>
        <w:tab/>
      </w:r>
    </w:p>
    <w:p w:rsidR="007C25D9" w:rsidRPr="004865D0" w:rsidRDefault="000303D3" w:rsidP="004865D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NW1772E</w:t>
      </w:r>
    </w:p>
    <w:p w:rsidR="00983C6B" w:rsidRDefault="007466CA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7466CA" w:rsidRDefault="007466CA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873DA" w:rsidRPr="007466CA" w:rsidRDefault="006873DA" w:rsidP="007466CA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6873DA">
        <w:rPr>
          <w:rFonts w:ascii="Arial" w:hAnsi="Arial" w:cs="Arial"/>
          <w:lang w:val="en-ZA"/>
        </w:rPr>
        <w:t xml:space="preserve">The total cost of </w:t>
      </w:r>
      <w:r w:rsidR="007466CA">
        <w:rPr>
          <w:rFonts w:ascii="Arial" w:hAnsi="Arial" w:cs="Arial"/>
          <w:lang w:val="en-ZA"/>
        </w:rPr>
        <w:t>the Commission of Inquiry into T</w:t>
      </w:r>
      <w:r w:rsidRPr="006873DA">
        <w:rPr>
          <w:rFonts w:ascii="Arial" w:hAnsi="Arial" w:cs="Arial"/>
          <w:lang w:val="en-ZA"/>
        </w:rPr>
        <w:t xml:space="preserve">ax </w:t>
      </w:r>
      <w:r w:rsidR="007466CA">
        <w:rPr>
          <w:rFonts w:ascii="Arial" w:hAnsi="Arial" w:cs="Arial"/>
          <w:lang w:val="en-ZA"/>
        </w:rPr>
        <w:t>A</w:t>
      </w:r>
      <w:r w:rsidRPr="006873DA">
        <w:rPr>
          <w:rFonts w:ascii="Arial" w:hAnsi="Arial" w:cs="Arial"/>
          <w:lang w:val="en-ZA"/>
        </w:rPr>
        <w:t xml:space="preserve">dministration and </w:t>
      </w:r>
      <w:r w:rsidR="007466CA">
        <w:rPr>
          <w:rFonts w:ascii="Arial" w:hAnsi="Arial" w:cs="Arial"/>
          <w:lang w:val="en-ZA"/>
        </w:rPr>
        <w:t>G</w:t>
      </w:r>
      <w:r w:rsidRPr="006873DA">
        <w:rPr>
          <w:rFonts w:ascii="Arial" w:hAnsi="Arial" w:cs="Arial"/>
          <w:lang w:val="en-ZA"/>
        </w:rPr>
        <w:t>overnance by the S</w:t>
      </w:r>
      <w:r w:rsidR="007466CA">
        <w:rPr>
          <w:rFonts w:ascii="Arial" w:hAnsi="Arial" w:cs="Arial"/>
          <w:lang w:val="en-ZA"/>
        </w:rPr>
        <w:t xml:space="preserve">outh </w:t>
      </w:r>
      <w:r w:rsidRPr="006873DA">
        <w:rPr>
          <w:rFonts w:ascii="Arial" w:hAnsi="Arial" w:cs="Arial"/>
          <w:lang w:val="en-ZA"/>
        </w:rPr>
        <w:t>A</w:t>
      </w:r>
      <w:r w:rsidR="007466CA">
        <w:rPr>
          <w:rFonts w:ascii="Arial" w:hAnsi="Arial" w:cs="Arial"/>
          <w:lang w:val="en-ZA"/>
        </w:rPr>
        <w:t>frican</w:t>
      </w:r>
      <w:r w:rsidRPr="006873DA">
        <w:rPr>
          <w:rFonts w:ascii="Arial" w:hAnsi="Arial" w:cs="Arial"/>
          <w:lang w:val="en-ZA"/>
        </w:rPr>
        <w:t xml:space="preserve"> Revenue Services</w:t>
      </w:r>
      <w:r w:rsidR="007466CA">
        <w:rPr>
          <w:rFonts w:ascii="Arial" w:hAnsi="Arial" w:cs="Arial"/>
          <w:lang w:val="en-ZA"/>
        </w:rPr>
        <w:t xml:space="preserve"> (SARS)</w:t>
      </w:r>
      <w:r w:rsidRPr="006873DA">
        <w:rPr>
          <w:rFonts w:ascii="Arial" w:hAnsi="Arial" w:cs="Arial"/>
          <w:lang w:val="en-ZA"/>
        </w:rPr>
        <w:t xml:space="preserve"> from inception to date is</w:t>
      </w:r>
      <w:r w:rsidR="007466CA">
        <w:rPr>
          <w:rFonts w:ascii="Arial" w:hAnsi="Arial" w:cs="Arial"/>
          <w:b/>
          <w:lang w:val="en-ZA"/>
        </w:rPr>
        <w:t xml:space="preserve"> </w:t>
      </w:r>
      <w:r w:rsidR="00163500" w:rsidRPr="007466CA">
        <w:rPr>
          <w:rFonts w:ascii="Arial" w:hAnsi="Arial" w:cs="Arial"/>
          <w:lang w:val="en-ZA"/>
        </w:rPr>
        <w:t>R8,</w:t>
      </w:r>
      <w:r w:rsidRPr="007466CA">
        <w:rPr>
          <w:rFonts w:ascii="Arial" w:hAnsi="Arial" w:cs="Arial"/>
          <w:lang w:val="en-ZA"/>
        </w:rPr>
        <w:t>106</w:t>
      </w:r>
      <w:r w:rsidR="00163500" w:rsidRPr="007466CA">
        <w:rPr>
          <w:rFonts w:ascii="Arial" w:hAnsi="Arial" w:cs="Arial"/>
          <w:lang w:val="en-ZA"/>
        </w:rPr>
        <w:t>,</w:t>
      </w:r>
      <w:r w:rsidRPr="007466CA">
        <w:rPr>
          <w:rFonts w:ascii="Arial" w:hAnsi="Arial" w:cs="Arial"/>
          <w:lang w:val="en-ZA"/>
        </w:rPr>
        <w:t>113.00.</w:t>
      </w:r>
    </w:p>
    <w:p w:rsidR="006873DA" w:rsidRDefault="006873DA" w:rsidP="007466CA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6873DA">
        <w:rPr>
          <w:rFonts w:ascii="Arial" w:hAnsi="Arial" w:cs="Arial"/>
          <w:lang w:val="en-ZA"/>
        </w:rPr>
        <w:t xml:space="preserve">The </w:t>
      </w:r>
      <w:r>
        <w:rPr>
          <w:rFonts w:ascii="Arial" w:hAnsi="Arial" w:cs="Arial"/>
          <w:lang w:val="en-ZA"/>
        </w:rPr>
        <w:t xml:space="preserve">detailed breakdown of the cost incurred is </w:t>
      </w:r>
      <w:r w:rsidR="007466CA">
        <w:rPr>
          <w:rFonts w:ascii="Arial" w:hAnsi="Arial" w:cs="Arial"/>
          <w:lang w:val="en-ZA"/>
        </w:rPr>
        <w:t>tabulated</w:t>
      </w:r>
      <w:r>
        <w:rPr>
          <w:rFonts w:ascii="Arial" w:hAnsi="Arial" w:cs="Arial"/>
          <w:lang w:val="en-ZA"/>
        </w:rPr>
        <w:t>:</w:t>
      </w:r>
    </w:p>
    <w:tbl>
      <w:tblPr>
        <w:tblW w:w="8471" w:type="dxa"/>
        <w:tblInd w:w="817" w:type="dxa"/>
        <w:tblLook w:val="04A0"/>
      </w:tblPr>
      <w:tblGrid>
        <w:gridCol w:w="4151"/>
        <w:gridCol w:w="2228"/>
        <w:gridCol w:w="2092"/>
      </w:tblGrid>
      <w:tr w:rsidR="006873DA" w:rsidRPr="006873DA" w:rsidTr="007466CA">
        <w:trPr>
          <w:trHeight w:val="690"/>
        </w:trPr>
        <w:tc>
          <w:tcPr>
            <w:tcW w:w="41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B8CCE4"/>
            <w:noWrap/>
            <w:vAlign w:val="center"/>
            <w:hideMark/>
          </w:tcPr>
          <w:p w:rsidR="006873DA" w:rsidRPr="007466CA" w:rsidRDefault="006873DA" w:rsidP="007466C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Economic Classification</w:t>
            </w:r>
          </w:p>
        </w:tc>
        <w:tc>
          <w:tcPr>
            <w:tcW w:w="222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B8CCE4"/>
            <w:hideMark/>
          </w:tcPr>
          <w:p w:rsidR="006873DA" w:rsidRPr="007466CA" w:rsidRDefault="006873DA" w:rsidP="007466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Expenditure 2018/19 </w:t>
            </w:r>
          </w:p>
        </w:tc>
        <w:tc>
          <w:tcPr>
            <w:tcW w:w="209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B8CCE4"/>
            <w:hideMark/>
          </w:tcPr>
          <w:p w:rsidR="006873DA" w:rsidRPr="007466CA" w:rsidRDefault="006873DA" w:rsidP="007466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Expenditure 2019/20 </w:t>
            </w:r>
          </w:p>
        </w:tc>
      </w:tr>
      <w:tr w:rsidR="006873DA" w:rsidRPr="006873DA" w:rsidTr="007466CA">
        <w:trPr>
          <w:trHeight w:val="315"/>
        </w:trPr>
        <w:tc>
          <w:tcPr>
            <w:tcW w:w="4151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873DA" w:rsidRPr="007466CA" w:rsidRDefault="006873DA" w:rsidP="007466CA">
            <w:pPr>
              <w:spacing w:line="36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color w:val="000000"/>
                <w:lang w:val="en-ZA" w:eastAsia="en-ZA"/>
              </w:rPr>
              <w:t>Compensation of Employees</w:t>
            </w:r>
          </w:p>
        </w:tc>
        <w:tc>
          <w:tcPr>
            <w:tcW w:w="2228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873DA" w:rsidRPr="007466CA" w:rsidRDefault="007466CA" w:rsidP="007466CA">
            <w:pPr>
              <w:spacing w:line="360" w:lineRule="auto"/>
              <w:ind w:firstLineChars="100" w:firstLine="240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lang w:val="en-ZA" w:eastAsia="en-ZA"/>
              </w:rPr>
              <w:t xml:space="preserve"> R</w:t>
            </w:r>
            <w:r w:rsidR="006873DA" w:rsidRPr="007466CA">
              <w:rPr>
                <w:rFonts w:ascii="Arial" w:hAnsi="Arial" w:cs="Arial"/>
                <w:color w:val="000000"/>
                <w:lang w:val="en-ZA" w:eastAsia="en-ZA"/>
              </w:rPr>
              <w:t xml:space="preserve">205 838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873DA" w:rsidRPr="007466CA" w:rsidRDefault="007466CA" w:rsidP="007466CA">
            <w:pPr>
              <w:spacing w:line="36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lang w:val="en-ZA" w:eastAsia="en-ZA"/>
              </w:rPr>
              <w:t>-</w:t>
            </w:r>
          </w:p>
        </w:tc>
      </w:tr>
      <w:tr w:rsidR="006873DA" w:rsidRPr="006873DA" w:rsidTr="007466CA">
        <w:trPr>
          <w:trHeight w:val="297"/>
        </w:trPr>
        <w:tc>
          <w:tcPr>
            <w:tcW w:w="4151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DA" w:rsidRPr="007466CA" w:rsidRDefault="006873DA" w:rsidP="007466CA">
            <w:pPr>
              <w:spacing w:line="36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color w:val="000000"/>
                <w:lang w:val="en-ZA" w:eastAsia="en-ZA"/>
              </w:rPr>
              <w:t>Goods and Services (Legal Advisory Services)</w:t>
            </w:r>
          </w:p>
        </w:tc>
        <w:tc>
          <w:tcPr>
            <w:tcW w:w="2228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873DA" w:rsidRPr="007466CA" w:rsidRDefault="007466CA" w:rsidP="007466CA">
            <w:pPr>
              <w:spacing w:line="360" w:lineRule="auto"/>
              <w:ind w:firstLineChars="100" w:firstLine="240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lang w:val="en-ZA" w:eastAsia="en-ZA"/>
              </w:rPr>
              <w:t xml:space="preserve"> R</w:t>
            </w:r>
            <w:r w:rsidR="006873DA" w:rsidRPr="007466CA">
              <w:rPr>
                <w:rFonts w:ascii="Arial" w:hAnsi="Arial" w:cs="Arial"/>
                <w:color w:val="000000"/>
                <w:lang w:val="en-ZA" w:eastAsia="en-ZA"/>
              </w:rPr>
              <w:t xml:space="preserve">6 908 582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:rsidR="006873DA" w:rsidRPr="007466CA" w:rsidRDefault="007466CA" w:rsidP="007466CA">
            <w:pPr>
              <w:spacing w:line="360" w:lineRule="auto"/>
              <w:ind w:firstLineChars="100" w:firstLine="240"/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lang w:val="en-ZA" w:eastAsia="en-ZA"/>
              </w:rPr>
              <w:t xml:space="preserve"> R</w:t>
            </w:r>
            <w:r w:rsidR="006873DA" w:rsidRPr="007466CA">
              <w:rPr>
                <w:rFonts w:ascii="Arial" w:hAnsi="Arial" w:cs="Arial"/>
                <w:color w:val="000000"/>
                <w:lang w:val="en-ZA" w:eastAsia="en-ZA"/>
              </w:rPr>
              <w:t xml:space="preserve">991 692 </w:t>
            </w:r>
          </w:p>
        </w:tc>
      </w:tr>
      <w:tr w:rsidR="006873DA" w:rsidRPr="006873DA" w:rsidTr="007466CA">
        <w:trPr>
          <w:trHeight w:val="315"/>
        </w:trPr>
        <w:tc>
          <w:tcPr>
            <w:tcW w:w="41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873DA" w:rsidRPr="007466CA" w:rsidRDefault="006873DA" w:rsidP="007466CA">
            <w:pPr>
              <w:spacing w:line="36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color w:val="000000"/>
                <w:lang w:val="en-ZA" w:eastAsia="en-ZA"/>
              </w:rPr>
              <w:t>Machinery and Equipment</w:t>
            </w:r>
          </w:p>
        </w:tc>
        <w:tc>
          <w:tcPr>
            <w:tcW w:w="2228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873DA" w:rsidRPr="007466CA" w:rsidRDefault="007466CA" w:rsidP="007466CA">
            <w:pPr>
              <w:spacing w:line="36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center"/>
            <w:hideMark/>
          </w:tcPr>
          <w:p w:rsidR="006873DA" w:rsidRPr="007466CA" w:rsidRDefault="006873DA" w:rsidP="007466CA">
            <w:pPr>
              <w:spacing w:line="36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color w:val="000000"/>
                <w:lang w:val="en-ZA" w:eastAsia="en-ZA"/>
              </w:rPr>
              <w:t>-</w:t>
            </w:r>
          </w:p>
        </w:tc>
      </w:tr>
      <w:tr w:rsidR="006873DA" w:rsidRPr="006873DA" w:rsidTr="007466CA">
        <w:trPr>
          <w:trHeight w:val="315"/>
        </w:trPr>
        <w:tc>
          <w:tcPr>
            <w:tcW w:w="41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B8CCE4"/>
            <w:noWrap/>
            <w:vAlign w:val="bottom"/>
            <w:hideMark/>
          </w:tcPr>
          <w:p w:rsidR="006873DA" w:rsidRPr="007466CA" w:rsidRDefault="006873DA" w:rsidP="007466C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 SARS Comm</w:t>
            </w:r>
            <w:r w:rsidR="007466CA"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ission</w:t>
            </w:r>
            <w:r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B8CCE4"/>
            <w:noWrap/>
            <w:vAlign w:val="bottom"/>
            <w:hideMark/>
          </w:tcPr>
          <w:p w:rsidR="006873DA" w:rsidRPr="007466CA" w:rsidRDefault="007466CA" w:rsidP="007466C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R</w:t>
            </w:r>
            <w:r w:rsidR="006873DA"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7 114 421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B8CCE4"/>
            <w:noWrap/>
            <w:vAlign w:val="bottom"/>
            <w:hideMark/>
          </w:tcPr>
          <w:p w:rsidR="006873DA" w:rsidRPr="007466CA" w:rsidRDefault="007466CA" w:rsidP="007466C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R</w:t>
            </w:r>
            <w:r w:rsidR="006873DA" w:rsidRPr="007466CA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991 692 </w:t>
            </w:r>
          </w:p>
        </w:tc>
      </w:tr>
    </w:tbl>
    <w:p w:rsidR="006873DA" w:rsidRDefault="006873DA" w:rsidP="006873DA">
      <w:pPr>
        <w:spacing w:before="120" w:after="120" w:line="360" w:lineRule="auto"/>
        <w:ind w:left="720"/>
        <w:rPr>
          <w:rFonts w:ascii="Arial" w:hAnsi="Arial" w:cs="Arial"/>
          <w:lang w:val="en-ZA"/>
        </w:rPr>
      </w:pPr>
    </w:p>
    <w:p w:rsidR="00983C6B" w:rsidRPr="008C0966" w:rsidRDefault="00983C6B" w:rsidP="002F0095">
      <w:pPr>
        <w:jc w:val="both"/>
        <w:rPr>
          <w:rFonts w:ascii="Arial" w:hAnsi="Arial" w:cs="Arial"/>
          <w:b/>
        </w:rPr>
      </w:pPr>
    </w:p>
    <w:sectPr w:rsidR="00983C6B" w:rsidRPr="008C096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4C" w:rsidRDefault="00A90A4C" w:rsidP="00913892">
      <w:r>
        <w:separator/>
      </w:r>
    </w:p>
  </w:endnote>
  <w:endnote w:type="continuationSeparator" w:id="0">
    <w:p w:rsidR="00A90A4C" w:rsidRDefault="00A90A4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90A4C" w:rsidRPr="00A90A4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4C" w:rsidRDefault="00A90A4C" w:rsidP="00913892">
      <w:r>
        <w:separator/>
      </w:r>
    </w:p>
  </w:footnote>
  <w:footnote w:type="continuationSeparator" w:id="0">
    <w:p w:rsidR="00A90A4C" w:rsidRDefault="00A90A4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9F"/>
    <w:multiLevelType w:val="hybridMultilevel"/>
    <w:tmpl w:val="7C88ED72"/>
    <w:lvl w:ilvl="0" w:tplc="C8A4D4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1"/>
  </w:num>
  <w:num w:numId="5">
    <w:abstractNumId w:val="25"/>
  </w:num>
  <w:num w:numId="6">
    <w:abstractNumId w:val="3"/>
  </w:num>
  <w:num w:numId="7">
    <w:abstractNumId w:val="31"/>
  </w:num>
  <w:num w:numId="8">
    <w:abstractNumId w:val="9"/>
  </w:num>
  <w:num w:numId="9">
    <w:abstractNumId w:val="14"/>
  </w:num>
  <w:num w:numId="10">
    <w:abstractNumId w:val="26"/>
  </w:num>
  <w:num w:numId="11">
    <w:abstractNumId w:val="2"/>
  </w:num>
  <w:num w:numId="12">
    <w:abstractNumId w:val="19"/>
  </w:num>
  <w:num w:numId="13">
    <w:abstractNumId w:val="12"/>
  </w:num>
  <w:num w:numId="14">
    <w:abstractNumId w:val="15"/>
  </w:num>
  <w:num w:numId="15">
    <w:abstractNumId w:val="8"/>
  </w:num>
  <w:num w:numId="16">
    <w:abstractNumId w:val="13"/>
  </w:num>
  <w:num w:numId="17">
    <w:abstractNumId w:val="28"/>
  </w:num>
  <w:num w:numId="18">
    <w:abstractNumId w:val="20"/>
  </w:num>
  <w:num w:numId="19">
    <w:abstractNumId w:val="17"/>
  </w:num>
  <w:num w:numId="20">
    <w:abstractNumId w:val="27"/>
  </w:num>
  <w:num w:numId="21">
    <w:abstractNumId w:val="22"/>
  </w:num>
  <w:num w:numId="22">
    <w:abstractNumId w:val="23"/>
  </w:num>
  <w:num w:numId="23">
    <w:abstractNumId w:val="7"/>
  </w:num>
  <w:num w:numId="24">
    <w:abstractNumId w:val="24"/>
  </w:num>
  <w:num w:numId="25">
    <w:abstractNumId w:val="5"/>
  </w:num>
  <w:num w:numId="26">
    <w:abstractNumId w:val="6"/>
  </w:num>
  <w:num w:numId="27">
    <w:abstractNumId w:val="30"/>
  </w:num>
  <w:num w:numId="28">
    <w:abstractNumId w:val="10"/>
  </w:num>
  <w:num w:numId="29">
    <w:abstractNumId w:val="18"/>
  </w:num>
  <w:num w:numId="30">
    <w:abstractNumId w:val="29"/>
  </w:num>
  <w:num w:numId="31">
    <w:abstractNumId w:val="16"/>
  </w:num>
  <w:num w:numId="3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3D3"/>
    <w:rsid w:val="00030927"/>
    <w:rsid w:val="0004105D"/>
    <w:rsid w:val="0004190C"/>
    <w:rsid w:val="00046588"/>
    <w:rsid w:val="00052CE2"/>
    <w:rsid w:val="00070401"/>
    <w:rsid w:val="00072E1B"/>
    <w:rsid w:val="0007655F"/>
    <w:rsid w:val="00084622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63500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62407"/>
    <w:rsid w:val="002857B6"/>
    <w:rsid w:val="00286311"/>
    <w:rsid w:val="00294A6E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61E4B"/>
    <w:rsid w:val="0037187E"/>
    <w:rsid w:val="003767D7"/>
    <w:rsid w:val="00381B64"/>
    <w:rsid w:val="00386CA6"/>
    <w:rsid w:val="003A07DD"/>
    <w:rsid w:val="003A64C5"/>
    <w:rsid w:val="003C1C66"/>
    <w:rsid w:val="003C43F4"/>
    <w:rsid w:val="003C4D22"/>
    <w:rsid w:val="003C5B62"/>
    <w:rsid w:val="003D526D"/>
    <w:rsid w:val="003E0CEE"/>
    <w:rsid w:val="003F5064"/>
    <w:rsid w:val="003F6245"/>
    <w:rsid w:val="004031F8"/>
    <w:rsid w:val="004145B1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65D0"/>
    <w:rsid w:val="004B6B6B"/>
    <w:rsid w:val="004D0859"/>
    <w:rsid w:val="004F6FEC"/>
    <w:rsid w:val="00515B6A"/>
    <w:rsid w:val="005160F8"/>
    <w:rsid w:val="005212C3"/>
    <w:rsid w:val="0054211D"/>
    <w:rsid w:val="00567640"/>
    <w:rsid w:val="00572F09"/>
    <w:rsid w:val="00580C49"/>
    <w:rsid w:val="005835BC"/>
    <w:rsid w:val="005856A7"/>
    <w:rsid w:val="00585897"/>
    <w:rsid w:val="005A29A2"/>
    <w:rsid w:val="005E365A"/>
    <w:rsid w:val="00612214"/>
    <w:rsid w:val="00625CD7"/>
    <w:rsid w:val="00630932"/>
    <w:rsid w:val="00635C5D"/>
    <w:rsid w:val="00653FE5"/>
    <w:rsid w:val="00670788"/>
    <w:rsid w:val="0067545A"/>
    <w:rsid w:val="006873D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466CA"/>
    <w:rsid w:val="007540CF"/>
    <w:rsid w:val="00755C22"/>
    <w:rsid w:val="00757E02"/>
    <w:rsid w:val="00760BFE"/>
    <w:rsid w:val="00777A77"/>
    <w:rsid w:val="0078425B"/>
    <w:rsid w:val="007910E1"/>
    <w:rsid w:val="00791471"/>
    <w:rsid w:val="007961D4"/>
    <w:rsid w:val="007C0AC3"/>
    <w:rsid w:val="007C25D9"/>
    <w:rsid w:val="007D0192"/>
    <w:rsid w:val="007E7201"/>
    <w:rsid w:val="007F2B0B"/>
    <w:rsid w:val="007F48EA"/>
    <w:rsid w:val="00801899"/>
    <w:rsid w:val="00846897"/>
    <w:rsid w:val="00865132"/>
    <w:rsid w:val="008769EF"/>
    <w:rsid w:val="00881381"/>
    <w:rsid w:val="00892846"/>
    <w:rsid w:val="008A1398"/>
    <w:rsid w:val="008A1837"/>
    <w:rsid w:val="008B345F"/>
    <w:rsid w:val="008C0966"/>
    <w:rsid w:val="008C0CF8"/>
    <w:rsid w:val="008C1A56"/>
    <w:rsid w:val="008D4373"/>
    <w:rsid w:val="008E312C"/>
    <w:rsid w:val="008E78E6"/>
    <w:rsid w:val="008F6A5A"/>
    <w:rsid w:val="009025C1"/>
    <w:rsid w:val="00905547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F1B70"/>
    <w:rsid w:val="009F2D5C"/>
    <w:rsid w:val="00A0329A"/>
    <w:rsid w:val="00A20C74"/>
    <w:rsid w:val="00A42301"/>
    <w:rsid w:val="00A4711C"/>
    <w:rsid w:val="00A64328"/>
    <w:rsid w:val="00A6432A"/>
    <w:rsid w:val="00A66729"/>
    <w:rsid w:val="00A7136B"/>
    <w:rsid w:val="00A90A4C"/>
    <w:rsid w:val="00AA2AB0"/>
    <w:rsid w:val="00AA39AC"/>
    <w:rsid w:val="00AB3AF9"/>
    <w:rsid w:val="00AD7B7A"/>
    <w:rsid w:val="00AF0834"/>
    <w:rsid w:val="00AF5D91"/>
    <w:rsid w:val="00B13369"/>
    <w:rsid w:val="00B170EA"/>
    <w:rsid w:val="00B26AB3"/>
    <w:rsid w:val="00B34E09"/>
    <w:rsid w:val="00B40A2F"/>
    <w:rsid w:val="00B46E62"/>
    <w:rsid w:val="00B5021D"/>
    <w:rsid w:val="00B53930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E6E88"/>
    <w:rsid w:val="00BF0672"/>
    <w:rsid w:val="00BF0809"/>
    <w:rsid w:val="00BF738D"/>
    <w:rsid w:val="00C10297"/>
    <w:rsid w:val="00C15423"/>
    <w:rsid w:val="00C31057"/>
    <w:rsid w:val="00C331B7"/>
    <w:rsid w:val="00C360AA"/>
    <w:rsid w:val="00C3772F"/>
    <w:rsid w:val="00C41A50"/>
    <w:rsid w:val="00C5438D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341C9"/>
    <w:rsid w:val="00D34AC6"/>
    <w:rsid w:val="00D463C8"/>
    <w:rsid w:val="00D50C5D"/>
    <w:rsid w:val="00D5218E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0358"/>
    <w:rsid w:val="00E44AFC"/>
    <w:rsid w:val="00E55AFD"/>
    <w:rsid w:val="00E7617D"/>
    <w:rsid w:val="00E771E1"/>
    <w:rsid w:val="00EA4D5C"/>
    <w:rsid w:val="00EA53D2"/>
    <w:rsid w:val="00EA7A64"/>
    <w:rsid w:val="00EB54FA"/>
    <w:rsid w:val="00EC2C5A"/>
    <w:rsid w:val="00EC5379"/>
    <w:rsid w:val="00EC7CB5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2019-09-27T10:07:00Z</dcterms:created>
  <dcterms:modified xsi:type="dcterms:W3CDTF">2019-09-27T10:07:00Z</dcterms:modified>
</cp:coreProperties>
</file>