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Default="00FF2C7D" w:rsidP="003D7858">
      <w:pPr>
        <w:jc w:val="center"/>
      </w:pPr>
      <w:r>
        <w:rPr>
          <w:noProof/>
          <w:lang w:val="en-ZA" w:eastAsia="en-ZA"/>
        </w:rPr>
        <w:drawing>
          <wp:inline distT="0" distB="0" distL="0" distR="0">
            <wp:extent cx="2428875" cy="1504950"/>
            <wp:effectExtent l="19050" t="0" r="9525" b="0"/>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7" cstate="print"/>
                    <a:srcRect/>
                    <a:stretch>
                      <a:fillRect/>
                    </a:stretch>
                  </pic:blipFill>
                  <pic:spPr bwMode="auto">
                    <a:xfrm>
                      <a:off x="0" y="0"/>
                      <a:ext cx="2428875" cy="1504950"/>
                    </a:xfrm>
                    <a:prstGeom prst="rect">
                      <a:avLst/>
                    </a:prstGeom>
                    <a:noFill/>
                    <a:ln w="9525">
                      <a:noFill/>
                      <a:miter lim="800000"/>
                      <a:headEnd/>
                      <a:tailEnd/>
                    </a:ln>
                  </pic:spPr>
                </pic:pic>
              </a:graphicData>
            </a:graphic>
          </wp:inline>
        </w:drawing>
      </w:r>
    </w:p>
    <w:p w:rsidR="00C3677B" w:rsidRPr="00740B88" w:rsidRDefault="00C3677B" w:rsidP="003D7858">
      <w:pPr>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w:t>
      </w:r>
      <w:smartTag w:uri="urn:schemas-microsoft-com:office:smarttags" w:element="City">
        <w:smartTag w:uri="urn:schemas-microsoft-com:office:smarttags" w:element="place">
          <w:r w:rsidRPr="00740B88">
            <w:rPr>
              <w:rFonts w:ascii="Arial" w:hAnsi="Arial" w:cs="Arial"/>
              <w:sz w:val="16"/>
              <w:szCs w:val="16"/>
            </w:rPr>
            <w:t>Pretoria</w:t>
          </w:r>
        </w:smartTag>
      </w:smartTag>
      <w:r w:rsidRPr="00740B88">
        <w:rPr>
          <w:rFonts w:ascii="Arial" w:hAnsi="Arial" w:cs="Arial"/>
          <w:sz w:val="16"/>
          <w:szCs w:val="16"/>
        </w:rPr>
        <w:t xml:space="preserve">,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rsidR="006B438D" w:rsidRDefault="00C3677B" w:rsidP="0068734A">
      <w:pPr>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xml:space="preserve">, </w:t>
      </w:r>
      <w:smartTag w:uri="urn:schemas-microsoft-com:office:smarttags" w:element="City">
        <w:smartTag w:uri="urn:schemas-microsoft-com:office:smarttags" w:element="place">
          <w:r w:rsidRPr="00740B88">
            <w:rPr>
              <w:rFonts w:ascii="Arial" w:hAnsi="Arial" w:cs="Arial"/>
              <w:sz w:val="16"/>
              <w:szCs w:val="16"/>
            </w:rPr>
            <w:t>Cape Town</w:t>
          </w:r>
        </w:smartTag>
      </w:smartTag>
      <w:r w:rsidRPr="00740B88">
        <w:rPr>
          <w:rFonts w:ascii="Arial" w:hAnsi="Arial" w:cs="Arial"/>
          <w:sz w:val="16"/>
          <w:szCs w:val="16"/>
        </w:rPr>
        <w:t>,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385B2D">
        <w:rPr>
          <w:rFonts w:ascii="Arial" w:hAnsi="Arial" w:cs="Arial"/>
          <w:b/>
          <w:bCs/>
        </w:rPr>
        <w:t>719</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E43D82">
        <w:rPr>
          <w:rFonts w:ascii="Arial" w:hAnsi="Arial" w:cs="Arial"/>
          <w:b/>
          <w:bCs/>
          <w:u w:val="single"/>
        </w:rPr>
        <w:t>11</w:t>
      </w:r>
      <w:r w:rsidR="00E103E5">
        <w:rPr>
          <w:rFonts w:ascii="Arial" w:hAnsi="Arial" w:cs="Arial"/>
          <w:b/>
          <w:bCs/>
          <w:u w:val="single"/>
        </w:rPr>
        <w:t>/</w:t>
      </w:r>
      <w:r w:rsidR="00D356B7">
        <w:rPr>
          <w:rFonts w:ascii="Arial" w:hAnsi="Arial" w:cs="Arial"/>
          <w:b/>
          <w:bCs/>
          <w:u w:val="single"/>
        </w:rPr>
        <w:t>0</w:t>
      </w:r>
      <w:r w:rsidR="00E43D82">
        <w:rPr>
          <w:rFonts w:ascii="Arial" w:hAnsi="Arial" w:cs="Arial"/>
          <w:b/>
          <w:bCs/>
          <w:u w:val="single"/>
        </w:rPr>
        <w:t>3</w:t>
      </w:r>
      <w:r w:rsidR="00F73D24">
        <w:rPr>
          <w:rFonts w:ascii="Arial" w:hAnsi="Arial" w:cs="Arial"/>
          <w:b/>
          <w:bCs/>
          <w:u w:val="single"/>
        </w:rPr>
        <w:t>/201</w:t>
      </w:r>
      <w:r w:rsidR="00D61F42">
        <w:rPr>
          <w:rFonts w:ascii="Arial" w:hAnsi="Arial" w:cs="Arial"/>
          <w:b/>
          <w:bCs/>
          <w:u w:val="single"/>
        </w:rPr>
        <w:t>6</w:t>
      </w:r>
    </w:p>
    <w:p w:rsidR="00C357BA" w:rsidRPr="00C357BA" w:rsidRDefault="009B0E09" w:rsidP="00C357BA">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E43D82">
        <w:rPr>
          <w:rFonts w:ascii="Arial" w:hAnsi="Arial" w:cs="Arial"/>
          <w:b/>
          <w:bCs/>
          <w:u w:val="single"/>
        </w:rPr>
        <w:t>8</w:t>
      </w:r>
      <w:r w:rsidR="00CB144F">
        <w:rPr>
          <w:rFonts w:ascii="Arial" w:hAnsi="Arial" w:cs="Arial"/>
          <w:b/>
          <w:bCs/>
          <w:u w:val="single"/>
        </w:rPr>
        <w:t xml:space="preserve"> </w:t>
      </w:r>
      <w:r w:rsidR="00F73D24">
        <w:rPr>
          <w:rFonts w:ascii="Arial" w:hAnsi="Arial" w:cs="Arial"/>
          <w:b/>
          <w:bCs/>
          <w:u w:val="single"/>
        </w:rPr>
        <w:t>OF 201</w:t>
      </w:r>
      <w:r w:rsidR="00D61F42">
        <w:rPr>
          <w:rFonts w:ascii="Arial" w:hAnsi="Arial" w:cs="Arial"/>
          <w:b/>
          <w:bCs/>
          <w:u w:val="single"/>
        </w:rPr>
        <w:t>6</w:t>
      </w:r>
      <w:r w:rsidR="00E02103" w:rsidRPr="003C5A76">
        <w:rPr>
          <w:rFonts w:ascii="Arial" w:hAnsi="Arial" w:cs="Arial"/>
          <w:b/>
          <w:bCs/>
          <w:u w:val="single"/>
        </w:rPr>
        <w:t>)</w:t>
      </w:r>
    </w:p>
    <w:p w:rsidR="00385B2D" w:rsidRPr="00385B2D" w:rsidRDefault="00385B2D" w:rsidP="00385B2D">
      <w:pPr>
        <w:spacing w:before="100" w:beforeAutospacing="1" w:after="100" w:afterAutospacing="1" w:line="360" w:lineRule="auto"/>
        <w:ind w:left="709" w:hanging="698"/>
        <w:jc w:val="both"/>
        <w:outlineLvl w:val="0"/>
        <w:rPr>
          <w:rFonts w:ascii="Arial" w:hAnsi="Arial" w:cs="Arial"/>
          <w:b/>
          <w:lang w:val="en-ZA"/>
        </w:rPr>
      </w:pPr>
      <w:r w:rsidRPr="00385B2D">
        <w:rPr>
          <w:rFonts w:ascii="Arial" w:hAnsi="Arial" w:cs="Arial"/>
          <w:b/>
          <w:lang w:val="en-ZA"/>
        </w:rPr>
        <w:t>Ms D Carter (Cope) to ask the Minister of Higher Education and Training:</w:t>
      </w:r>
    </w:p>
    <w:p w:rsidR="00385B2D" w:rsidRDefault="00385B2D" w:rsidP="000F4525">
      <w:pPr>
        <w:spacing w:before="100" w:beforeAutospacing="1" w:after="100" w:afterAutospacing="1" w:line="360" w:lineRule="auto"/>
        <w:jc w:val="both"/>
        <w:rPr>
          <w:rFonts w:ascii="Arial" w:hAnsi="Arial" w:cs="Arial"/>
          <w:lang w:val="en-ZA"/>
        </w:rPr>
      </w:pPr>
      <w:r w:rsidRPr="00385B2D">
        <w:rPr>
          <w:rFonts w:ascii="Arial" w:hAnsi="Arial" w:cs="Arial"/>
          <w:lang w:val="en-ZA"/>
        </w:rPr>
        <w:t>Whether the goal of the National Development Plan to bolster teacher training has been implemented across the country in a manner that was fully equipping new teachers with (a) accurate and detailed subject knowledge, (b) innovative methodology and modern classroom practice techniques, (c) evolving philosophy on education and modern principles of education, (d) psychological insights in dealing with learners and (e) scientific methods of assessing and testing learners; if not, why not; if so, what (i) are the relevant details of how teacher training is being thoroughly bolstered and (ii) outcomes are being</w:t>
      </w:r>
      <w:r>
        <w:rPr>
          <w:rFonts w:ascii="Arial" w:hAnsi="Arial" w:cs="Arial"/>
          <w:lang w:val="en-ZA"/>
        </w:rPr>
        <w:t xml:space="preserve"> achieved as a result thereof?</w:t>
      </w:r>
    </w:p>
    <w:p w:rsidR="00385B2D" w:rsidRPr="00385B2D" w:rsidRDefault="00385B2D" w:rsidP="00385B2D">
      <w:pPr>
        <w:spacing w:before="100" w:beforeAutospacing="1" w:after="100" w:afterAutospacing="1" w:line="360" w:lineRule="auto"/>
        <w:ind w:left="720"/>
        <w:jc w:val="right"/>
        <w:rPr>
          <w:rFonts w:ascii="Arial" w:hAnsi="Arial" w:cs="Arial"/>
          <w:b/>
          <w:lang w:val="en-ZA"/>
        </w:rPr>
      </w:pPr>
      <w:r w:rsidRPr="00385B2D">
        <w:rPr>
          <w:rFonts w:ascii="Arial" w:hAnsi="Arial" w:cs="Arial"/>
          <w:b/>
          <w:lang w:val="en-ZA"/>
        </w:rPr>
        <w:t>NW834E</w:t>
      </w:r>
    </w:p>
    <w:p w:rsidR="00741A11" w:rsidRPr="000F4525" w:rsidRDefault="00CC0CBD" w:rsidP="000F4525">
      <w:pPr>
        <w:spacing w:before="100" w:beforeAutospacing="1" w:after="100" w:afterAutospacing="1" w:line="360" w:lineRule="auto"/>
        <w:jc w:val="both"/>
        <w:rPr>
          <w:rFonts w:ascii="Arial" w:hAnsi="Arial" w:cs="Arial"/>
        </w:rPr>
      </w:pPr>
      <w:r>
        <w:rPr>
          <w:rFonts w:ascii="Arial" w:hAnsi="Arial" w:cs="Arial"/>
          <w:b/>
        </w:rPr>
        <w:br w:type="page"/>
      </w:r>
      <w:r w:rsidR="00B12389" w:rsidRPr="000F4525">
        <w:rPr>
          <w:rFonts w:ascii="Arial" w:hAnsi="Arial" w:cs="Arial"/>
          <w:b/>
        </w:rPr>
        <w:lastRenderedPageBreak/>
        <w:t>R</w:t>
      </w:r>
      <w:r w:rsidR="00FC1A3C" w:rsidRPr="000F4525">
        <w:rPr>
          <w:rFonts w:ascii="Arial" w:hAnsi="Arial" w:cs="Arial"/>
          <w:b/>
        </w:rPr>
        <w:t>EPLY:</w:t>
      </w:r>
    </w:p>
    <w:p w:rsidR="002C2804" w:rsidRPr="000F4525" w:rsidRDefault="002C2804" w:rsidP="00A65BEE">
      <w:pPr>
        <w:spacing w:line="360" w:lineRule="auto"/>
        <w:jc w:val="both"/>
        <w:rPr>
          <w:rFonts w:ascii="Arial" w:hAnsi="Arial" w:cs="Arial"/>
          <w:lang w:val="en-ZA"/>
        </w:rPr>
      </w:pPr>
      <w:r w:rsidRPr="000F4525">
        <w:rPr>
          <w:rFonts w:ascii="Arial" w:hAnsi="Arial" w:cs="Arial"/>
        </w:rPr>
        <w:t>Yes</w:t>
      </w:r>
      <w:r w:rsidR="00C555F0">
        <w:rPr>
          <w:rFonts w:ascii="Arial" w:hAnsi="Arial" w:cs="Arial"/>
        </w:rPr>
        <w:t>,</w:t>
      </w:r>
      <w:r w:rsidRPr="000F4525">
        <w:rPr>
          <w:rFonts w:ascii="Arial" w:hAnsi="Arial" w:cs="Arial"/>
        </w:rPr>
        <w:t xml:space="preserve"> the </w:t>
      </w:r>
      <w:r w:rsidRPr="000F4525">
        <w:rPr>
          <w:rFonts w:ascii="Arial" w:hAnsi="Arial" w:cs="Arial"/>
          <w:lang w:val="en-ZA"/>
        </w:rPr>
        <w:t>goal of the National Development Plan to bolster teacher education is being implemented</w:t>
      </w:r>
      <w:r w:rsidR="008376C9">
        <w:rPr>
          <w:rFonts w:ascii="Arial" w:hAnsi="Arial" w:cs="Arial"/>
          <w:lang w:val="en-ZA"/>
        </w:rPr>
        <w:t xml:space="preserve"> as follows</w:t>
      </w:r>
      <w:r w:rsidRPr="000F4525">
        <w:rPr>
          <w:rFonts w:ascii="Arial" w:hAnsi="Arial" w:cs="Arial"/>
          <w:lang w:val="en-ZA"/>
        </w:rPr>
        <w:t>:</w:t>
      </w:r>
    </w:p>
    <w:p w:rsidR="000E1582" w:rsidRPr="00A65BEE" w:rsidRDefault="00F67EF6" w:rsidP="00A65BEE">
      <w:pPr>
        <w:numPr>
          <w:ilvl w:val="0"/>
          <w:numId w:val="8"/>
        </w:numPr>
        <w:spacing w:line="360" w:lineRule="auto"/>
        <w:rPr>
          <w:rFonts w:ascii="Arial" w:hAnsi="Arial" w:cs="Arial"/>
        </w:rPr>
      </w:pPr>
      <w:r>
        <w:rPr>
          <w:rFonts w:ascii="Arial" w:hAnsi="Arial" w:cs="Arial"/>
        </w:rPr>
        <w:t>In 2011, I published t</w:t>
      </w:r>
      <w:r w:rsidR="000E1582" w:rsidRPr="00BE3789">
        <w:rPr>
          <w:rFonts w:ascii="Arial" w:hAnsi="Arial" w:cs="Arial"/>
        </w:rPr>
        <w:t xml:space="preserve">he </w:t>
      </w:r>
      <w:r w:rsidR="008376C9">
        <w:rPr>
          <w:rFonts w:ascii="Arial" w:hAnsi="Arial" w:cs="Arial"/>
        </w:rPr>
        <w:t>p</w:t>
      </w:r>
      <w:r w:rsidR="000E1582" w:rsidRPr="00BE3789">
        <w:rPr>
          <w:rFonts w:ascii="Arial" w:hAnsi="Arial" w:cs="Arial"/>
        </w:rPr>
        <w:t>olicy on Minimum Requirements for Teacher Education</w:t>
      </w:r>
      <w:r w:rsidR="00C555F0">
        <w:rPr>
          <w:rFonts w:ascii="Arial" w:hAnsi="Arial" w:cs="Arial"/>
        </w:rPr>
        <w:t xml:space="preserve"> </w:t>
      </w:r>
      <w:r w:rsidR="000E1582" w:rsidRPr="00BE3789">
        <w:rPr>
          <w:rFonts w:ascii="Arial" w:hAnsi="Arial" w:cs="Arial"/>
        </w:rPr>
        <w:t xml:space="preserve">Qualifications (MRTEQ) </w:t>
      </w:r>
      <w:r w:rsidR="002C2804" w:rsidRPr="00BE3789">
        <w:rPr>
          <w:rFonts w:ascii="Arial" w:hAnsi="Arial" w:cs="Arial"/>
        </w:rPr>
        <w:t xml:space="preserve">in the </w:t>
      </w:r>
      <w:r>
        <w:rPr>
          <w:rFonts w:ascii="Arial" w:hAnsi="Arial" w:cs="Arial"/>
        </w:rPr>
        <w:t>g</w:t>
      </w:r>
      <w:r w:rsidR="002C2804" w:rsidRPr="00BE3789">
        <w:rPr>
          <w:rFonts w:ascii="Arial" w:hAnsi="Arial" w:cs="Arial"/>
        </w:rPr>
        <w:t xml:space="preserve">overnment </w:t>
      </w:r>
      <w:r>
        <w:rPr>
          <w:rFonts w:ascii="Arial" w:hAnsi="Arial" w:cs="Arial"/>
        </w:rPr>
        <w:t>g</w:t>
      </w:r>
      <w:r w:rsidR="002C2804" w:rsidRPr="00BE3789">
        <w:rPr>
          <w:rFonts w:ascii="Arial" w:hAnsi="Arial" w:cs="Arial"/>
        </w:rPr>
        <w:t>azette for implementation</w:t>
      </w:r>
      <w:r w:rsidR="00CD4A4F" w:rsidRPr="00BE3789">
        <w:rPr>
          <w:rFonts w:ascii="Arial" w:hAnsi="Arial" w:cs="Arial"/>
        </w:rPr>
        <w:t xml:space="preserve">, </w:t>
      </w:r>
      <w:r w:rsidR="00C555F0">
        <w:rPr>
          <w:rFonts w:ascii="Arial" w:hAnsi="Arial" w:cs="Arial"/>
        </w:rPr>
        <w:t xml:space="preserve">which was updated in 2015 in alignment </w:t>
      </w:r>
      <w:r w:rsidR="00CD4A4F" w:rsidRPr="00BE3789">
        <w:rPr>
          <w:rFonts w:ascii="Arial" w:hAnsi="Arial" w:cs="Arial"/>
        </w:rPr>
        <w:t>with the revised Higher Education Qual</w:t>
      </w:r>
      <w:r w:rsidR="00C555F0">
        <w:rPr>
          <w:rFonts w:ascii="Arial" w:hAnsi="Arial" w:cs="Arial"/>
        </w:rPr>
        <w:t>ifications Sub-Framework</w:t>
      </w:r>
      <w:r w:rsidR="000E1582" w:rsidRPr="00BE3789">
        <w:rPr>
          <w:rFonts w:ascii="Arial" w:hAnsi="Arial" w:cs="Arial"/>
        </w:rPr>
        <w:t>.</w:t>
      </w:r>
    </w:p>
    <w:p w:rsidR="000E1582" w:rsidRPr="000F4525" w:rsidRDefault="000E1582" w:rsidP="00A65BEE">
      <w:pPr>
        <w:spacing w:line="360" w:lineRule="auto"/>
        <w:ind w:left="360"/>
        <w:jc w:val="both"/>
        <w:rPr>
          <w:rFonts w:ascii="Arial" w:eastAsia="Times New Roman" w:hAnsi="Arial" w:cs="Arial"/>
          <w:lang w:val="en-US"/>
        </w:rPr>
      </w:pPr>
      <w:r w:rsidRPr="000F4525">
        <w:rPr>
          <w:rFonts w:ascii="Arial" w:eastAsia="Times New Roman" w:hAnsi="Arial" w:cs="Arial"/>
          <w:lang w:val="en-US"/>
        </w:rPr>
        <w:t xml:space="preserve">The MRTEQ replaced the Norms and Standards for Educators (2000) and its main purpose is to refocus teacher education programmes to </w:t>
      </w:r>
      <w:r w:rsidR="00543593" w:rsidRPr="000F4525">
        <w:rPr>
          <w:rFonts w:ascii="Arial" w:eastAsia="Times New Roman" w:hAnsi="Arial" w:cs="Arial"/>
          <w:lang w:val="en-US"/>
        </w:rPr>
        <w:t xml:space="preserve">unambiguously </w:t>
      </w:r>
      <w:r w:rsidRPr="000F4525">
        <w:rPr>
          <w:rFonts w:ascii="Arial" w:eastAsia="Times New Roman" w:hAnsi="Arial" w:cs="Arial"/>
          <w:lang w:val="en-US"/>
        </w:rPr>
        <w:t>focus on the development of t</w:t>
      </w:r>
      <w:r w:rsidR="00A65BEE">
        <w:rPr>
          <w:rFonts w:ascii="Arial" w:eastAsia="Times New Roman" w:hAnsi="Arial" w:cs="Arial"/>
          <w:lang w:val="en-US"/>
        </w:rPr>
        <w:t xml:space="preserve">eacher knowledge and practice. </w:t>
      </w:r>
    </w:p>
    <w:p w:rsidR="000E1582" w:rsidRPr="000F4525" w:rsidRDefault="000E1582" w:rsidP="00EE764E">
      <w:pPr>
        <w:spacing w:after="0" w:line="360" w:lineRule="auto"/>
        <w:ind w:left="360"/>
        <w:jc w:val="both"/>
        <w:rPr>
          <w:rFonts w:ascii="Arial" w:eastAsia="Times New Roman" w:hAnsi="Arial" w:cs="Arial"/>
          <w:lang w:val="en-US"/>
        </w:rPr>
      </w:pPr>
      <w:r w:rsidRPr="000F4525">
        <w:rPr>
          <w:rFonts w:ascii="Arial" w:eastAsia="Times New Roman" w:hAnsi="Arial" w:cs="Arial"/>
          <w:lang w:val="en-US"/>
        </w:rPr>
        <w:t xml:space="preserve">The MRTEQ requires that initial teacher education programmes develop teacher knowledge and practice in </w:t>
      </w:r>
      <w:r w:rsidR="00CF197B" w:rsidRPr="000F4525">
        <w:rPr>
          <w:rFonts w:ascii="Arial" w:eastAsia="Times New Roman" w:hAnsi="Arial" w:cs="Arial"/>
          <w:lang w:val="en-US"/>
        </w:rPr>
        <w:t>five</w:t>
      </w:r>
      <w:r w:rsidRPr="000F4525">
        <w:rPr>
          <w:rFonts w:ascii="Arial" w:eastAsia="Times New Roman" w:hAnsi="Arial" w:cs="Arial"/>
          <w:lang w:val="en-US"/>
        </w:rPr>
        <w:t xml:space="preserve"> key areas of learning:</w:t>
      </w:r>
    </w:p>
    <w:p w:rsidR="00741A11" w:rsidRPr="000F4525" w:rsidRDefault="00741A11" w:rsidP="00EE764E">
      <w:pPr>
        <w:numPr>
          <w:ilvl w:val="0"/>
          <w:numId w:val="5"/>
        </w:numPr>
        <w:autoSpaceDE w:val="0"/>
        <w:autoSpaceDN w:val="0"/>
        <w:adjustRightInd w:val="0"/>
        <w:spacing w:after="0" w:line="360" w:lineRule="auto"/>
        <w:jc w:val="both"/>
        <w:rPr>
          <w:rFonts w:ascii="Arial" w:eastAsia="Times New Roman" w:hAnsi="Arial" w:cs="Arial"/>
          <w:lang w:val="en-ZA" w:eastAsia="en-GB"/>
        </w:rPr>
      </w:pPr>
      <w:r w:rsidRPr="00FB7F03">
        <w:rPr>
          <w:rFonts w:ascii="Arial" w:eastAsia="Times New Roman" w:hAnsi="Arial" w:cs="Arial"/>
          <w:lang w:val="en-ZA" w:eastAsia="en-GB"/>
        </w:rPr>
        <w:t>Disciplinary learning</w:t>
      </w:r>
      <w:r w:rsidRPr="000F4525">
        <w:rPr>
          <w:rFonts w:ascii="Arial" w:eastAsia="Times New Roman" w:hAnsi="Arial" w:cs="Arial"/>
          <w:lang w:val="en-ZA" w:eastAsia="en-GB"/>
        </w:rPr>
        <w:t xml:space="preserve"> refers to disciplinary or subject matter </w:t>
      </w:r>
      <w:r w:rsidR="00FB7F03" w:rsidRPr="000F4525">
        <w:rPr>
          <w:rFonts w:ascii="Arial" w:eastAsia="Times New Roman" w:hAnsi="Arial" w:cs="Arial"/>
          <w:lang w:val="en-ZA" w:eastAsia="en-GB"/>
        </w:rPr>
        <w:t>knowledge</w:t>
      </w:r>
      <w:r w:rsidRPr="000F4525">
        <w:rPr>
          <w:rFonts w:ascii="Arial" w:eastAsia="Times New Roman" w:hAnsi="Arial" w:cs="Arial"/>
          <w:lang w:val="en-ZA" w:eastAsia="en-GB"/>
        </w:rPr>
        <w:t xml:space="preserve"> and it includes the study of education and its foundations, including but not limited to the philosophy, psychology, politics, economics, sociology and history of education.</w:t>
      </w:r>
      <w:r w:rsidR="00FB7F03">
        <w:rPr>
          <w:rFonts w:ascii="Arial" w:eastAsia="Times New Roman" w:hAnsi="Arial" w:cs="Arial"/>
          <w:lang w:val="en-ZA" w:eastAsia="en-GB"/>
        </w:rPr>
        <w:t xml:space="preserve"> </w:t>
      </w:r>
      <w:r w:rsidRPr="000F4525">
        <w:rPr>
          <w:rFonts w:ascii="Arial" w:eastAsia="Times New Roman" w:hAnsi="Arial" w:cs="Arial"/>
          <w:lang w:val="en-ZA" w:eastAsia="en-GB"/>
        </w:rPr>
        <w:t>Secondly</w:t>
      </w:r>
      <w:r w:rsidR="00FB7F03">
        <w:rPr>
          <w:rFonts w:ascii="Arial" w:eastAsia="Times New Roman" w:hAnsi="Arial" w:cs="Arial"/>
          <w:lang w:val="en-ZA" w:eastAsia="en-GB"/>
        </w:rPr>
        <w:t>,</w:t>
      </w:r>
      <w:r w:rsidRPr="000F4525">
        <w:rPr>
          <w:rFonts w:ascii="Arial" w:eastAsia="Times New Roman" w:hAnsi="Arial" w:cs="Arial"/>
          <w:lang w:val="en-ZA" w:eastAsia="en-GB"/>
        </w:rPr>
        <w:t xml:space="preserve"> it includes the study of specific specialised subject matter relevant to the academic disciplines underpinning teaching subjects or specialisations. Professional ethics and issues related to knowledge of, and relationships between the self and others are </w:t>
      </w:r>
      <w:r w:rsidR="00CF197B" w:rsidRPr="000F4525">
        <w:rPr>
          <w:rFonts w:ascii="Arial" w:eastAsia="Times New Roman" w:hAnsi="Arial" w:cs="Arial"/>
          <w:lang w:val="en-ZA" w:eastAsia="en-GB"/>
        </w:rPr>
        <w:t>crosscutting</w:t>
      </w:r>
      <w:r w:rsidRPr="000F4525">
        <w:rPr>
          <w:rFonts w:ascii="Arial" w:eastAsia="Times New Roman" w:hAnsi="Arial" w:cs="Arial"/>
          <w:lang w:val="en-ZA" w:eastAsia="en-GB"/>
        </w:rPr>
        <w:t xml:space="preserve"> themes that are theoretically located in the study of education and its foundations. </w:t>
      </w:r>
    </w:p>
    <w:p w:rsidR="00741A11" w:rsidRPr="000F4525" w:rsidRDefault="00741A11" w:rsidP="00EE764E">
      <w:pPr>
        <w:numPr>
          <w:ilvl w:val="0"/>
          <w:numId w:val="5"/>
        </w:numPr>
        <w:autoSpaceDE w:val="0"/>
        <w:autoSpaceDN w:val="0"/>
        <w:adjustRightInd w:val="0"/>
        <w:spacing w:after="0" w:line="360" w:lineRule="auto"/>
        <w:jc w:val="both"/>
        <w:rPr>
          <w:rFonts w:ascii="Arial" w:eastAsia="Times New Roman" w:hAnsi="Arial" w:cs="Arial"/>
          <w:lang w:val="en-ZA" w:eastAsia="en-GB"/>
        </w:rPr>
      </w:pPr>
      <w:r w:rsidRPr="00FB7F03">
        <w:rPr>
          <w:rFonts w:ascii="Arial" w:eastAsia="Times New Roman" w:hAnsi="Arial" w:cs="Arial"/>
          <w:lang w:val="en-ZA" w:eastAsia="en-GB"/>
        </w:rPr>
        <w:t>Pedagogical learning</w:t>
      </w:r>
      <w:r w:rsidRPr="000F4525">
        <w:rPr>
          <w:rFonts w:ascii="Arial" w:eastAsia="Times New Roman" w:hAnsi="Arial" w:cs="Arial"/>
          <w:lang w:val="en-ZA" w:eastAsia="en-GB"/>
        </w:rPr>
        <w:t xml:space="preserve"> includes general pedagogical knowledge</w:t>
      </w:r>
      <w:r w:rsidR="00A65BEE">
        <w:rPr>
          <w:rFonts w:ascii="Arial" w:eastAsia="Times New Roman" w:hAnsi="Arial" w:cs="Arial"/>
          <w:lang w:val="en-ZA" w:eastAsia="en-GB"/>
        </w:rPr>
        <w:t>,</w:t>
      </w:r>
      <w:r w:rsidRPr="000F4525">
        <w:rPr>
          <w:rFonts w:ascii="Arial" w:eastAsia="Times New Roman" w:hAnsi="Arial" w:cs="Arial"/>
          <w:lang w:val="en-ZA" w:eastAsia="en-GB"/>
        </w:rPr>
        <w:t xml:space="preserve"> which refers to the study of the principles, practices and methods of teaching, knowledge of learners, learning, curriculum</w:t>
      </w:r>
      <w:r w:rsidR="00A65BEE">
        <w:rPr>
          <w:rFonts w:ascii="Arial" w:eastAsia="Times New Roman" w:hAnsi="Arial" w:cs="Arial"/>
          <w:lang w:val="en-ZA" w:eastAsia="en-GB"/>
        </w:rPr>
        <w:t xml:space="preserve">, </w:t>
      </w:r>
      <w:r w:rsidRPr="000F4525">
        <w:rPr>
          <w:rFonts w:ascii="Arial" w:eastAsia="Times New Roman" w:hAnsi="Arial" w:cs="Arial"/>
          <w:lang w:val="en-ZA" w:eastAsia="en-GB"/>
        </w:rPr>
        <w:t>general instructional and assessment strategies</w:t>
      </w:r>
      <w:r w:rsidR="00A65BEE">
        <w:rPr>
          <w:rFonts w:ascii="Arial" w:eastAsia="Times New Roman" w:hAnsi="Arial" w:cs="Arial"/>
          <w:lang w:val="en-ZA" w:eastAsia="en-GB"/>
        </w:rPr>
        <w:t>,</w:t>
      </w:r>
      <w:r w:rsidRPr="000F4525">
        <w:rPr>
          <w:rFonts w:ascii="Arial" w:eastAsia="Times New Roman" w:hAnsi="Arial" w:cs="Arial"/>
          <w:lang w:val="en-ZA" w:eastAsia="en-GB"/>
        </w:rPr>
        <w:t xml:space="preserve"> and specialised pedagogical content knowledge, which includes knowing how to present the concepts, methods and rules of a specific discipline in order to create appropriate learning opportunities for diverse learners, as well as how to evaluate their progress. Inclusive education forms an important aspect of both general pedagogical knowledge and specialised pedagogical content knowledge.</w:t>
      </w:r>
    </w:p>
    <w:p w:rsidR="00741A11" w:rsidRPr="000F4525" w:rsidRDefault="00741A11" w:rsidP="00EE764E">
      <w:pPr>
        <w:numPr>
          <w:ilvl w:val="0"/>
          <w:numId w:val="5"/>
        </w:numPr>
        <w:autoSpaceDE w:val="0"/>
        <w:autoSpaceDN w:val="0"/>
        <w:adjustRightInd w:val="0"/>
        <w:spacing w:after="0" w:line="360" w:lineRule="auto"/>
        <w:jc w:val="both"/>
        <w:rPr>
          <w:rFonts w:ascii="Arial" w:eastAsia="Times New Roman" w:hAnsi="Arial" w:cs="Arial"/>
          <w:color w:val="000000"/>
          <w:lang w:val="en-ZA" w:eastAsia="en-GB"/>
        </w:rPr>
      </w:pPr>
      <w:r w:rsidRPr="00FB7F03">
        <w:rPr>
          <w:rFonts w:ascii="Arial" w:eastAsia="Times New Roman" w:hAnsi="Arial" w:cs="Arial"/>
          <w:lang w:val="en-ZA" w:eastAsia="en-GB"/>
        </w:rPr>
        <w:t>Practical learning</w:t>
      </w:r>
      <w:r w:rsidRPr="000F4525">
        <w:rPr>
          <w:rFonts w:ascii="Arial" w:eastAsia="Times New Roman" w:hAnsi="Arial" w:cs="Arial"/>
          <w:lang w:val="en-ZA" w:eastAsia="en-GB"/>
        </w:rPr>
        <w:t xml:space="preserve"> involves learning from and in practice. Learning from practice includes the study of practice, using discursive resources to analyse different practices across a variety of contexts, drawing from case studies, video records, lesson observations, etc., in order to theorise practice and form a basis for learning in practice. Learning in practice involves teaching in authentic and simulated classroom environments. Work-integrated learning (WIL) takes place in the workplace (classrooms and schools) and can include </w:t>
      </w:r>
      <w:r w:rsidRPr="000F4525">
        <w:rPr>
          <w:rFonts w:ascii="Arial" w:eastAsia="Times New Roman" w:hAnsi="Arial" w:cs="Arial"/>
          <w:lang w:val="en-ZA" w:eastAsia="en-GB"/>
        </w:rPr>
        <w:lastRenderedPageBreak/>
        <w:t>aspects of learning from practice</w:t>
      </w:r>
      <w:r w:rsidR="00A65BEE">
        <w:rPr>
          <w:rFonts w:ascii="Arial" w:eastAsia="Times New Roman" w:hAnsi="Arial" w:cs="Arial"/>
          <w:lang w:val="en-ZA" w:eastAsia="en-GB"/>
        </w:rPr>
        <w:t xml:space="preserve">, </w:t>
      </w:r>
      <w:r w:rsidRPr="000F4525">
        <w:rPr>
          <w:rFonts w:ascii="Arial" w:eastAsia="Times New Roman" w:hAnsi="Arial" w:cs="Arial"/>
          <w:lang w:val="en-ZA" w:eastAsia="en-GB"/>
        </w:rPr>
        <w:t>e.g. observing and reflect</w:t>
      </w:r>
      <w:r w:rsidR="00A65BEE">
        <w:rPr>
          <w:rFonts w:ascii="Arial" w:eastAsia="Times New Roman" w:hAnsi="Arial" w:cs="Arial"/>
          <w:lang w:val="en-ZA" w:eastAsia="en-GB"/>
        </w:rPr>
        <w:t>ing on lessons taught by others</w:t>
      </w:r>
      <w:r w:rsidRPr="000F4525">
        <w:rPr>
          <w:rFonts w:ascii="Arial" w:eastAsia="Times New Roman" w:hAnsi="Arial" w:cs="Arial"/>
          <w:lang w:val="en-ZA" w:eastAsia="en-GB"/>
        </w:rPr>
        <w:t>, as well as learning in practice</w:t>
      </w:r>
      <w:r w:rsidR="00A65BEE">
        <w:rPr>
          <w:rFonts w:ascii="Arial" w:eastAsia="Times New Roman" w:hAnsi="Arial" w:cs="Arial"/>
          <w:lang w:val="en-ZA" w:eastAsia="en-GB"/>
        </w:rPr>
        <w:t xml:space="preserve">, </w:t>
      </w:r>
      <w:r w:rsidRPr="000F4525">
        <w:rPr>
          <w:rFonts w:ascii="Arial" w:eastAsia="Times New Roman" w:hAnsi="Arial" w:cs="Arial"/>
          <w:lang w:val="en-ZA" w:eastAsia="en-GB"/>
        </w:rPr>
        <w:t xml:space="preserve">e.g. preparing, teaching and reflecting </w:t>
      </w:r>
      <w:r w:rsidR="00A65BEE">
        <w:rPr>
          <w:rFonts w:ascii="Arial" w:eastAsia="Times New Roman" w:hAnsi="Arial" w:cs="Arial"/>
          <w:lang w:val="en-ZA" w:eastAsia="en-GB"/>
        </w:rPr>
        <w:t>on lessons presented by oneself</w:t>
      </w:r>
      <w:r w:rsidRPr="000F4525">
        <w:rPr>
          <w:rFonts w:ascii="Arial" w:eastAsia="Times New Roman" w:hAnsi="Arial" w:cs="Arial"/>
          <w:lang w:val="en-ZA" w:eastAsia="en-GB"/>
        </w:rPr>
        <w:t xml:space="preserve">. </w:t>
      </w:r>
    </w:p>
    <w:p w:rsidR="00741A11" w:rsidRPr="000F4525" w:rsidRDefault="00741A11" w:rsidP="00EE764E">
      <w:pPr>
        <w:numPr>
          <w:ilvl w:val="0"/>
          <w:numId w:val="5"/>
        </w:numPr>
        <w:autoSpaceDE w:val="0"/>
        <w:autoSpaceDN w:val="0"/>
        <w:adjustRightInd w:val="0"/>
        <w:spacing w:after="0" w:line="360" w:lineRule="auto"/>
        <w:jc w:val="both"/>
        <w:rPr>
          <w:rFonts w:ascii="Arial" w:eastAsia="Times New Roman" w:hAnsi="Arial" w:cs="Arial"/>
          <w:lang w:val="en-ZA" w:eastAsia="en-GB"/>
        </w:rPr>
      </w:pPr>
      <w:r w:rsidRPr="00FB7F03">
        <w:rPr>
          <w:rFonts w:ascii="Arial" w:eastAsia="Times New Roman" w:hAnsi="Arial" w:cs="Arial"/>
          <w:lang w:val="en-ZA" w:eastAsia="en-GB"/>
        </w:rPr>
        <w:t>Situational learning</w:t>
      </w:r>
      <w:r w:rsidRPr="000F4525">
        <w:rPr>
          <w:rFonts w:ascii="Arial" w:eastAsia="Times New Roman" w:hAnsi="Arial" w:cs="Arial"/>
          <w:lang w:val="en-ZA" w:eastAsia="en-GB"/>
        </w:rPr>
        <w:t xml:space="preserve"> refers to knowledge of the varied learning situations, contexts and environ</w:t>
      </w:r>
      <w:r w:rsidR="00F67EF6">
        <w:rPr>
          <w:rFonts w:ascii="Arial" w:eastAsia="Times New Roman" w:hAnsi="Arial" w:cs="Arial"/>
          <w:lang w:val="en-ZA" w:eastAsia="en-GB"/>
        </w:rPr>
        <w:t xml:space="preserve">ments of education (classrooms, </w:t>
      </w:r>
      <w:r w:rsidRPr="000F4525">
        <w:rPr>
          <w:rFonts w:ascii="Arial" w:eastAsia="Times New Roman" w:hAnsi="Arial" w:cs="Arial"/>
          <w:lang w:val="en-ZA" w:eastAsia="en-GB"/>
        </w:rPr>
        <w:t>schools, communities, districts, regions, countries and globally), as well as to the prevailing policy, political and organisational contexts.</w:t>
      </w:r>
      <w:r w:rsidR="00B12B2C" w:rsidRPr="000F4525">
        <w:rPr>
          <w:rFonts w:ascii="Arial" w:eastAsia="Times New Roman" w:hAnsi="Arial" w:cs="Arial"/>
          <w:lang w:val="en-ZA" w:eastAsia="en-GB"/>
        </w:rPr>
        <w:t xml:space="preserve"> </w:t>
      </w:r>
      <w:r w:rsidRPr="000F4525">
        <w:rPr>
          <w:rFonts w:ascii="Arial" w:eastAsia="Times New Roman" w:hAnsi="Arial" w:cs="Arial"/>
          <w:lang w:val="en-ZA" w:eastAsia="en-GB"/>
        </w:rPr>
        <w:t xml:space="preserve">This includes </w:t>
      </w:r>
      <w:r w:rsidR="00B12B2C" w:rsidRPr="000F4525">
        <w:rPr>
          <w:rFonts w:ascii="Arial" w:eastAsia="Times New Roman" w:hAnsi="Arial" w:cs="Arial"/>
          <w:lang w:val="en-ZA" w:eastAsia="en-GB"/>
        </w:rPr>
        <w:t>learning</w:t>
      </w:r>
      <w:r w:rsidRPr="000F4525">
        <w:rPr>
          <w:rFonts w:ascii="Arial" w:eastAsia="Times New Roman" w:hAnsi="Arial" w:cs="Arial"/>
          <w:lang w:val="en-ZA" w:eastAsia="en-GB"/>
        </w:rPr>
        <w:t xml:space="preserve"> about the complex and differentiated nature of the South African society, learning to work in nuanced ways in confronting the diverse challenges faced by children in schools and the communit</w:t>
      </w:r>
      <w:r w:rsidR="00FB7F03">
        <w:rPr>
          <w:rFonts w:ascii="Arial" w:eastAsia="Times New Roman" w:hAnsi="Arial" w:cs="Arial"/>
          <w:lang w:val="en-ZA" w:eastAsia="en-GB"/>
        </w:rPr>
        <w:t>ies they serve, for example HIV/</w:t>
      </w:r>
      <w:r w:rsidRPr="000F4525">
        <w:rPr>
          <w:rFonts w:ascii="Arial" w:eastAsia="Times New Roman" w:hAnsi="Arial" w:cs="Arial"/>
          <w:lang w:val="en-ZA" w:eastAsia="en-GB"/>
        </w:rPr>
        <w:t>AIDS, poverty and the lingering effects of apartheid, dealing with diversity, promoting inclusivity and environmental sustainability.</w:t>
      </w:r>
    </w:p>
    <w:p w:rsidR="000E1582" w:rsidRPr="00A65BEE" w:rsidRDefault="00B12B2C" w:rsidP="00A65BEE">
      <w:pPr>
        <w:numPr>
          <w:ilvl w:val="0"/>
          <w:numId w:val="5"/>
        </w:numPr>
        <w:autoSpaceDE w:val="0"/>
        <w:autoSpaceDN w:val="0"/>
        <w:adjustRightInd w:val="0"/>
        <w:spacing w:line="360" w:lineRule="auto"/>
        <w:jc w:val="both"/>
        <w:rPr>
          <w:rFonts w:ascii="Arial" w:eastAsia="Times New Roman" w:hAnsi="Arial" w:cs="Arial"/>
          <w:lang w:val="en-ZA" w:eastAsia="en-GB"/>
        </w:rPr>
      </w:pPr>
      <w:r w:rsidRPr="00FB7F03">
        <w:rPr>
          <w:rFonts w:ascii="Arial" w:eastAsia="Times New Roman" w:hAnsi="Arial" w:cs="Arial"/>
          <w:lang w:val="en-ZA" w:eastAsia="en-GB"/>
        </w:rPr>
        <w:t>Fundamental learning in</w:t>
      </w:r>
      <w:r w:rsidRPr="000F4525">
        <w:rPr>
          <w:rFonts w:ascii="Arial" w:eastAsia="Times New Roman" w:hAnsi="Arial" w:cs="Arial"/>
          <w:lang w:val="en-ZA" w:eastAsia="en-GB"/>
        </w:rPr>
        <w:t xml:space="preserve"> the context of teacher education in </w:t>
      </w:r>
      <w:smartTag w:uri="urn:schemas-microsoft-com:office:smarttags" w:element="country-region">
        <w:smartTag w:uri="urn:schemas-microsoft-com:office:smarttags" w:element="place">
          <w:r w:rsidRPr="000F4525">
            <w:rPr>
              <w:rFonts w:ascii="Arial" w:eastAsia="Times New Roman" w:hAnsi="Arial" w:cs="Arial"/>
              <w:lang w:val="en-ZA" w:eastAsia="en-GB"/>
            </w:rPr>
            <w:t>South Africa</w:t>
          </w:r>
        </w:smartTag>
      </w:smartTag>
      <w:r w:rsidRPr="000F4525">
        <w:rPr>
          <w:rFonts w:ascii="Arial" w:eastAsia="Times New Roman" w:hAnsi="Arial" w:cs="Arial"/>
          <w:lang w:val="en-ZA" w:eastAsia="en-GB"/>
        </w:rPr>
        <w:t xml:space="preserve"> refers to learning</w:t>
      </w:r>
      <w:r w:rsidR="00A65BEE">
        <w:rPr>
          <w:rFonts w:ascii="Arial" w:eastAsia="Times New Roman" w:hAnsi="Arial" w:cs="Arial"/>
          <w:lang w:val="en-ZA" w:eastAsia="en-GB"/>
        </w:rPr>
        <w:t xml:space="preserve">, </w:t>
      </w:r>
      <w:r w:rsidRPr="000F4525">
        <w:rPr>
          <w:rFonts w:ascii="Arial" w:eastAsia="Times New Roman" w:hAnsi="Arial" w:cs="Arial"/>
          <w:lang w:val="en-ZA" w:eastAsia="en-GB"/>
        </w:rPr>
        <w:t>converse competently in a second official language,</w:t>
      </w:r>
      <w:r w:rsidRPr="000F4525">
        <w:rPr>
          <w:rFonts w:ascii="Arial" w:eastAsia="Times New Roman" w:hAnsi="Arial" w:cs="Arial"/>
          <w:vertAlign w:val="superscript"/>
          <w:lang w:val="en-ZA" w:eastAsia="en-GB"/>
        </w:rPr>
        <w:footnoteReference w:id="1"/>
      </w:r>
      <w:r w:rsidRPr="000F4525">
        <w:rPr>
          <w:rFonts w:ascii="Arial" w:eastAsia="Times New Roman" w:hAnsi="Arial" w:cs="Arial"/>
          <w:lang w:val="en-ZA" w:eastAsia="en-GB"/>
        </w:rPr>
        <w:t xml:space="preserve"> the ability to use Information</w:t>
      </w:r>
      <w:r w:rsidR="00FB7F03">
        <w:rPr>
          <w:rFonts w:ascii="Arial" w:eastAsia="Times New Roman" w:hAnsi="Arial" w:cs="Arial"/>
          <w:lang w:val="en-ZA" w:eastAsia="en-GB"/>
        </w:rPr>
        <w:t xml:space="preserve"> and Communication Technologies </w:t>
      </w:r>
      <w:r w:rsidRPr="000F4525">
        <w:rPr>
          <w:rFonts w:ascii="Arial" w:eastAsia="Times New Roman" w:hAnsi="Arial" w:cs="Arial"/>
          <w:lang w:val="en-ZA" w:eastAsia="en-GB"/>
        </w:rPr>
        <w:t xml:space="preserve">competently and the acquisition of academic literacies, which lay the foundation for effective learning in higher education contexts. </w:t>
      </w:r>
    </w:p>
    <w:p w:rsidR="000E1582" w:rsidRPr="000F4525" w:rsidRDefault="000E1582" w:rsidP="00A65BEE">
      <w:pPr>
        <w:spacing w:line="360" w:lineRule="auto"/>
        <w:ind w:left="360"/>
        <w:jc w:val="both"/>
        <w:rPr>
          <w:rFonts w:ascii="Arial" w:eastAsia="Times New Roman" w:hAnsi="Arial" w:cs="Arial"/>
          <w:lang w:val="en-US"/>
        </w:rPr>
      </w:pPr>
      <w:r w:rsidRPr="000F4525">
        <w:rPr>
          <w:rFonts w:ascii="Arial" w:eastAsia="Times New Roman" w:hAnsi="Arial" w:cs="Arial"/>
          <w:lang w:val="en-US"/>
        </w:rPr>
        <w:t>The MRTEQ sets standards for how teacher education programme</w:t>
      </w:r>
      <w:r w:rsidR="000F74A2" w:rsidRPr="000F4525">
        <w:rPr>
          <w:rFonts w:ascii="Arial" w:eastAsia="Times New Roman" w:hAnsi="Arial" w:cs="Arial"/>
          <w:lang w:val="en-US"/>
        </w:rPr>
        <w:t xml:space="preserve">s must </w:t>
      </w:r>
      <w:r w:rsidRPr="000F4525">
        <w:rPr>
          <w:rFonts w:ascii="Arial" w:eastAsia="Times New Roman" w:hAnsi="Arial" w:cs="Arial"/>
          <w:lang w:val="en-US"/>
        </w:rPr>
        <w:t xml:space="preserve">address development of these areas of </w:t>
      </w:r>
      <w:r w:rsidR="00A6096E" w:rsidRPr="000F4525">
        <w:rPr>
          <w:rFonts w:ascii="Arial" w:eastAsia="Times New Roman" w:hAnsi="Arial" w:cs="Arial"/>
          <w:lang w:val="en-US"/>
        </w:rPr>
        <w:t>learning</w:t>
      </w:r>
      <w:r w:rsidRPr="000F4525">
        <w:rPr>
          <w:rFonts w:ascii="Arial" w:eastAsia="Times New Roman" w:hAnsi="Arial" w:cs="Arial"/>
          <w:lang w:val="en-US"/>
        </w:rPr>
        <w:t xml:space="preserve"> through specifying </w:t>
      </w:r>
      <w:r w:rsidR="00A6096E" w:rsidRPr="000F4525">
        <w:rPr>
          <w:rFonts w:ascii="Arial" w:eastAsia="Times New Roman" w:hAnsi="Arial" w:cs="Arial"/>
          <w:lang w:val="en-US"/>
        </w:rPr>
        <w:t>levels</w:t>
      </w:r>
      <w:r w:rsidRPr="000F4525">
        <w:rPr>
          <w:rFonts w:ascii="Arial" w:eastAsia="Times New Roman" w:hAnsi="Arial" w:cs="Arial"/>
          <w:lang w:val="en-US"/>
        </w:rPr>
        <w:t xml:space="preserve"> at which learning in these areas must take place as well as number of </w:t>
      </w:r>
      <w:r w:rsidR="000F74A2" w:rsidRPr="000F4525">
        <w:rPr>
          <w:rFonts w:ascii="Arial" w:eastAsia="Times New Roman" w:hAnsi="Arial" w:cs="Arial"/>
          <w:lang w:val="en-US"/>
        </w:rPr>
        <w:t>credits</w:t>
      </w:r>
      <w:r w:rsidRPr="000F4525">
        <w:rPr>
          <w:rFonts w:ascii="Arial" w:eastAsia="Times New Roman" w:hAnsi="Arial" w:cs="Arial"/>
          <w:lang w:val="en-US"/>
        </w:rPr>
        <w:t xml:space="preserve"> that must be allocated to these </w:t>
      </w:r>
      <w:r w:rsidR="000F74A2" w:rsidRPr="000F4525">
        <w:rPr>
          <w:rFonts w:ascii="Arial" w:eastAsia="Times New Roman" w:hAnsi="Arial" w:cs="Arial"/>
          <w:lang w:val="en-US"/>
        </w:rPr>
        <w:t>areas</w:t>
      </w:r>
      <w:r w:rsidR="00A65BEE">
        <w:rPr>
          <w:rFonts w:ascii="Arial" w:eastAsia="Times New Roman" w:hAnsi="Arial" w:cs="Arial"/>
          <w:lang w:val="en-US"/>
        </w:rPr>
        <w:t xml:space="preserve"> of learning. </w:t>
      </w:r>
    </w:p>
    <w:p w:rsidR="000E1582" w:rsidRPr="000F4525" w:rsidRDefault="000E1582" w:rsidP="00EE764E">
      <w:pPr>
        <w:spacing w:line="360" w:lineRule="auto"/>
        <w:ind w:left="360"/>
        <w:jc w:val="both"/>
        <w:rPr>
          <w:rFonts w:ascii="Arial" w:eastAsia="Times New Roman" w:hAnsi="Arial" w:cs="Arial"/>
          <w:lang w:val="en-US"/>
        </w:rPr>
      </w:pPr>
      <w:r w:rsidRPr="000F4525">
        <w:rPr>
          <w:rFonts w:ascii="Arial" w:eastAsia="Times New Roman" w:hAnsi="Arial" w:cs="Arial"/>
          <w:lang w:val="en-US"/>
        </w:rPr>
        <w:t>The MRTEQ also closely regulates the teaching practice component of teacher education programmes to strengthen this component of initial teacher education programmes. It sets standards regarding the nature of schools to be used for teaching practice, the nature of the teaching practice component within initial teacher education programmes, and the time spent in</w:t>
      </w:r>
      <w:r w:rsidR="00EE764E">
        <w:rPr>
          <w:rFonts w:ascii="Arial" w:eastAsia="Times New Roman" w:hAnsi="Arial" w:cs="Arial"/>
          <w:lang w:val="en-US"/>
        </w:rPr>
        <w:t xml:space="preserve"> schools.</w:t>
      </w:r>
    </w:p>
    <w:p w:rsidR="00CD4A4F" w:rsidRDefault="000E1582" w:rsidP="00A65BEE">
      <w:pPr>
        <w:spacing w:line="360" w:lineRule="auto"/>
        <w:ind w:left="360"/>
        <w:jc w:val="both"/>
        <w:rPr>
          <w:rFonts w:ascii="Arial" w:eastAsia="Times New Roman" w:hAnsi="Arial" w:cs="Arial"/>
          <w:lang w:val="en-US"/>
        </w:rPr>
      </w:pPr>
      <w:r w:rsidRPr="000F4525">
        <w:rPr>
          <w:rFonts w:ascii="Arial" w:eastAsia="Times New Roman" w:hAnsi="Arial" w:cs="Arial"/>
          <w:lang w:val="en-US"/>
        </w:rPr>
        <w:t>A national Teacher Education Programme Evaluation Committee (TEPEC)</w:t>
      </w:r>
      <w:r w:rsidR="00BD61B3">
        <w:rPr>
          <w:rFonts w:ascii="Arial" w:eastAsia="Times New Roman" w:hAnsi="Arial" w:cs="Arial"/>
          <w:lang w:val="en-US"/>
        </w:rPr>
        <w:t>, comprising of</w:t>
      </w:r>
      <w:r w:rsidRPr="000F4525">
        <w:rPr>
          <w:rFonts w:ascii="Arial" w:eastAsia="Times New Roman" w:hAnsi="Arial" w:cs="Arial"/>
          <w:lang w:val="en-US"/>
        </w:rPr>
        <w:t xml:space="preserve"> </w:t>
      </w:r>
      <w:r w:rsidR="00BD61B3">
        <w:rPr>
          <w:rFonts w:ascii="Arial" w:eastAsia="Times New Roman" w:hAnsi="Arial" w:cs="Arial"/>
          <w:lang w:val="en-US"/>
        </w:rPr>
        <w:t xml:space="preserve">the </w:t>
      </w:r>
      <w:r w:rsidR="00BD61B3" w:rsidRPr="000F4525">
        <w:rPr>
          <w:rFonts w:ascii="Arial" w:eastAsia="Times New Roman" w:hAnsi="Arial" w:cs="Arial"/>
          <w:lang w:val="en-US"/>
        </w:rPr>
        <w:t>Department of Basic Education, South African Council of Educators and Education, Training and Development Practices Sector Education and Training Authority</w:t>
      </w:r>
      <w:r w:rsidR="00BD61B3">
        <w:rPr>
          <w:rFonts w:ascii="Arial" w:eastAsia="Times New Roman" w:hAnsi="Arial" w:cs="Arial"/>
          <w:lang w:val="en-US"/>
        </w:rPr>
        <w:t xml:space="preserve">, </w:t>
      </w:r>
      <w:r w:rsidR="00BD61B3" w:rsidRPr="000F4525">
        <w:rPr>
          <w:rFonts w:ascii="Arial" w:eastAsia="Times New Roman" w:hAnsi="Arial" w:cs="Arial"/>
          <w:lang w:val="en-US"/>
        </w:rPr>
        <w:t xml:space="preserve">chaired by the Department of Higher Education and Training </w:t>
      </w:r>
      <w:r w:rsidRPr="000F4525">
        <w:rPr>
          <w:rFonts w:ascii="Arial" w:eastAsia="Times New Roman" w:hAnsi="Arial" w:cs="Arial"/>
          <w:lang w:val="en-US"/>
        </w:rPr>
        <w:t>has been set up</w:t>
      </w:r>
      <w:r w:rsidR="00FB7F03">
        <w:rPr>
          <w:rFonts w:ascii="Arial" w:eastAsia="Times New Roman" w:hAnsi="Arial" w:cs="Arial"/>
          <w:lang w:val="en-US"/>
        </w:rPr>
        <w:t xml:space="preserve">. </w:t>
      </w:r>
      <w:r w:rsidR="00A65BEE">
        <w:rPr>
          <w:rFonts w:ascii="Arial" w:eastAsia="Times New Roman" w:hAnsi="Arial" w:cs="Arial"/>
          <w:lang w:val="en-US"/>
        </w:rPr>
        <w:t>This C</w:t>
      </w:r>
      <w:r w:rsidRPr="000F4525">
        <w:rPr>
          <w:rFonts w:ascii="Arial" w:eastAsia="Times New Roman" w:hAnsi="Arial" w:cs="Arial"/>
          <w:lang w:val="en-US"/>
        </w:rPr>
        <w:t>ommittee reviews a</w:t>
      </w:r>
      <w:r w:rsidR="00FB7F03">
        <w:rPr>
          <w:rFonts w:ascii="Arial" w:eastAsia="Times New Roman" w:hAnsi="Arial" w:cs="Arial"/>
          <w:lang w:val="en-US"/>
        </w:rPr>
        <w:t xml:space="preserve">ll teacher education programmes </w:t>
      </w:r>
      <w:r w:rsidRPr="000F4525">
        <w:rPr>
          <w:rFonts w:ascii="Arial" w:eastAsia="Times New Roman" w:hAnsi="Arial" w:cs="Arial"/>
          <w:lang w:val="en-US"/>
        </w:rPr>
        <w:t xml:space="preserve">to ensure that they meet the requirements stipulated in the </w:t>
      </w:r>
      <w:r w:rsidR="00FB7F03">
        <w:rPr>
          <w:rFonts w:ascii="Arial" w:eastAsia="Times New Roman" w:hAnsi="Arial" w:cs="Arial"/>
          <w:lang w:val="en-US"/>
        </w:rPr>
        <w:t>p</w:t>
      </w:r>
      <w:r w:rsidRPr="000F4525">
        <w:rPr>
          <w:rFonts w:ascii="Arial" w:eastAsia="Times New Roman" w:hAnsi="Arial" w:cs="Arial"/>
          <w:lang w:val="en-US"/>
        </w:rPr>
        <w:t xml:space="preserve">olicy on </w:t>
      </w:r>
      <w:r w:rsidR="00FB7F03" w:rsidRPr="000F4525">
        <w:rPr>
          <w:rFonts w:ascii="Arial" w:eastAsia="Times New Roman" w:hAnsi="Arial" w:cs="Arial"/>
          <w:lang w:val="en-US"/>
        </w:rPr>
        <w:t>MRTEQ</w:t>
      </w:r>
      <w:r w:rsidRPr="000F4525">
        <w:rPr>
          <w:rFonts w:ascii="Arial" w:eastAsia="Times New Roman" w:hAnsi="Arial" w:cs="Arial"/>
          <w:lang w:val="en-US"/>
        </w:rPr>
        <w:t xml:space="preserve">.  </w:t>
      </w:r>
    </w:p>
    <w:p w:rsidR="00A82407" w:rsidRPr="000F4525" w:rsidRDefault="00831B1D" w:rsidP="00A65BEE">
      <w:pPr>
        <w:spacing w:line="360" w:lineRule="auto"/>
        <w:ind w:left="360"/>
        <w:jc w:val="both"/>
        <w:rPr>
          <w:rFonts w:ascii="Arial" w:eastAsia="Times New Roman" w:hAnsi="Arial" w:cs="Arial"/>
          <w:lang w:val="en-US"/>
        </w:rPr>
      </w:pPr>
      <w:r w:rsidRPr="000F4525">
        <w:rPr>
          <w:rFonts w:ascii="Arial" w:eastAsia="Times New Roman" w:hAnsi="Arial" w:cs="Arial"/>
          <w:lang w:val="en-US"/>
        </w:rPr>
        <w:lastRenderedPageBreak/>
        <w:t xml:space="preserve">In addition to the above evaluation process, teacher education qualifications are also evaluated for inclusion on the Programme Qualification Mix of universities, and most importantly, evaluated for accreditation purposes by the Higher Education Qualifications Committee of the Council on Higher Education, prior to </w:t>
      </w:r>
      <w:r w:rsidR="00CF197B">
        <w:rPr>
          <w:rFonts w:ascii="Arial" w:eastAsia="Times New Roman" w:hAnsi="Arial" w:cs="Arial"/>
          <w:lang w:val="en-US"/>
        </w:rPr>
        <w:t>applying</w:t>
      </w:r>
      <w:r w:rsidRPr="000F4525">
        <w:rPr>
          <w:rFonts w:ascii="Arial" w:eastAsia="Times New Roman" w:hAnsi="Arial" w:cs="Arial"/>
          <w:lang w:val="en-US"/>
        </w:rPr>
        <w:t xml:space="preserve"> to the South African Qualifications Authority for registration on the Natio</w:t>
      </w:r>
      <w:r w:rsidR="00F67EF6">
        <w:rPr>
          <w:rFonts w:ascii="Arial" w:eastAsia="Times New Roman" w:hAnsi="Arial" w:cs="Arial"/>
          <w:lang w:val="en-US"/>
        </w:rPr>
        <w:t>nal Qualifications Framework</w:t>
      </w:r>
      <w:r w:rsidR="00A65BEE">
        <w:rPr>
          <w:rFonts w:ascii="Arial" w:eastAsia="Times New Roman" w:hAnsi="Arial" w:cs="Arial"/>
          <w:lang w:val="en-US"/>
        </w:rPr>
        <w:t>.</w:t>
      </w:r>
    </w:p>
    <w:p w:rsidR="00013B65" w:rsidRPr="000F4525" w:rsidRDefault="00013B65" w:rsidP="00EE764E">
      <w:pPr>
        <w:spacing w:after="0" w:line="360" w:lineRule="auto"/>
        <w:ind w:left="360"/>
        <w:jc w:val="both"/>
        <w:rPr>
          <w:rFonts w:ascii="Arial" w:eastAsia="Times New Roman" w:hAnsi="Arial" w:cs="Arial"/>
          <w:lang w:val="en-US"/>
        </w:rPr>
      </w:pPr>
      <w:r w:rsidRPr="000F4525">
        <w:rPr>
          <w:rFonts w:ascii="Arial" w:eastAsia="Times New Roman" w:hAnsi="Arial" w:cs="Arial"/>
          <w:lang w:val="en-US"/>
        </w:rPr>
        <w:t xml:space="preserve">Together with strengthening teacher education through a focus on the quality of </w:t>
      </w:r>
      <w:r w:rsidR="000F4525">
        <w:rPr>
          <w:rFonts w:ascii="Arial" w:eastAsia="Times New Roman" w:hAnsi="Arial" w:cs="Arial"/>
          <w:lang w:val="en-US"/>
        </w:rPr>
        <w:t xml:space="preserve">teacher education </w:t>
      </w:r>
      <w:r w:rsidRPr="000F4525">
        <w:rPr>
          <w:rFonts w:ascii="Arial" w:eastAsia="Times New Roman" w:hAnsi="Arial" w:cs="Arial"/>
          <w:lang w:val="en-US"/>
        </w:rPr>
        <w:t xml:space="preserve">qualifications and programmes, </w:t>
      </w:r>
      <w:r w:rsidR="00C555F0">
        <w:rPr>
          <w:rFonts w:ascii="Arial" w:eastAsia="Times New Roman" w:hAnsi="Arial" w:cs="Arial"/>
          <w:lang w:val="en-US"/>
        </w:rPr>
        <w:t>the Department has put in</w:t>
      </w:r>
      <w:r w:rsidR="008376C9">
        <w:rPr>
          <w:rFonts w:ascii="Arial" w:eastAsia="Times New Roman" w:hAnsi="Arial" w:cs="Arial"/>
          <w:lang w:val="en-US"/>
        </w:rPr>
        <w:t xml:space="preserve"> place </w:t>
      </w:r>
      <w:r w:rsidRPr="000F4525">
        <w:rPr>
          <w:rFonts w:ascii="Arial" w:eastAsia="Times New Roman" w:hAnsi="Arial" w:cs="Arial"/>
          <w:lang w:val="en-US"/>
        </w:rPr>
        <w:t xml:space="preserve">a </w:t>
      </w:r>
      <w:r w:rsidR="00A82407" w:rsidRPr="000F4525">
        <w:rPr>
          <w:rFonts w:ascii="Arial" w:eastAsia="Times New Roman" w:hAnsi="Arial" w:cs="Arial"/>
          <w:lang w:val="en-US"/>
        </w:rPr>
        <w:t xml:space="preserve">number of other </w:t>
      </w:r>
      <w:r w:rsidRPr="000F4525">
        <w:rPr>
          <w:rFonts w:ascii="Arial" w:eastAsia="Times New Roman" w:hAnsi="Arial" w:cs="Arial"/>
          <w:lang w:val="en-US"/>
        </w:rPr>
        <w:t xml:space="preserve">initiatives </w:t>
      </w:r>
      <w:r w:rsidR="00A82407" w:rsidRPr="000F4525">
        <w:rPr>
          <w:rFonts w:ascii="Arial" w:eastAsia="Times New Roman" w:hAnsi="Arial" w:cs="Arial"/>
          <w:lang w:val="en-US"/>
        </w:rPr>
        <w:t xml:space="preserve">to bolster teacher education. </w:t>
      </w:r>
      <w:r w:rsidR="008376C9">
        <w:rPr>
          <w:rFonts w:ascii="Arial" w:eastAsia="Times New Roman" w:hAnsi="Arial" w:cs="Arial"/>
          <w:lang w:val="en-US"/>
        </w:rPr>
        <w:t>They are as follows:</w:t>
      </w:r>
    </w:p>
    <w:p w:rsidR="00013B65" w:rsidRPr="000F4525" w:rsidRDefault="008376C9" w:rsidP="00EE764E">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A</w:t>
      </w:r>
      <w:r w:rsidR="00013B65" w:rsidRPr="000F4525">
        <w:rPr>
          <w:rFonts w:ascii="Arial" w:eastAsia="Times New Roman" w:hAnsi="Arial" w:cs="Arial"/>
          <w:lang w:val="en-US"/>
        </w:rPr>
        <w:t>llocat</w:t>
      </w:r>
      <w:r>
        <w:rPr>
          <w:rFonts w:ascii="Arial" w:eastAsia="Times New Roman" w:hAnsi="Arial" w:cs="Arial"/>
          <w:lang w:val="en-US"/>
        </w:rPr>
        <w:t>ed</w:t>
      </w:r>
      <w:r w:rsidR="00013B65" w:rsidRPr="000F4525">
        <w:rPr>
          <w:rFonts w:ascii="Arial" w:eastAsia="Times New Roman" w:hAnsi="Arial" w:cs="Arial"/>
          <w:lang w:val="en-US"/>
        </w:rPr>
        <w:t xml:space="preserve"> ring-fenced funding to universities to develop teacher education infrastructure. In the 2012/</w:t>
      </w:r>
      <w:r w:rsidR="00F67EF6">
        <w:rPr>
          <w:rFonts w:ascii="Arial" w:eastAsia="Times New Roman" w:hAnsi="Arial" w:cs="Arial"/>
          <w:lang w:val="en-US"/>
        </w:rPr>
        <w:t>13</w:t>
      </w:r>
      <w:r w:rsidR="00A65BEE">
        <w:rPr>
          <w:rFonts w:ascii="Arial" w:eastAsia="Times New Roman" w:hAnsi="Arial" w:cs="Arial"/>
          <w:lang w:val="en-US"/>
        </w:rPr>
        <w:t xml:space="preserve"> </w:t>
      </w:r>
      <w:r w:rsidR="00F67EF6">
        <w:rPr>
          <w:rFonts w:ascii="Arial" w:eastAsia="Times New Roman" w:hAnsi="Arial" w:cs="Arial"/>
          <w:lang w:val="en-US"/>
        </w:rPr>
        <w:t>-</w:t>
      </w:r>
      <w:r w:rsidR="00A65BEE">
        <w:rPr>
          <w:rFonts w:ascii="Arial" w:eastAsia="Times New Roman" w:hAnsi="Arial" w:cs="Arial"/>
          <w:lang w:val="en-US"/>
        </w:rPr>
        <w:t xml:space="preserve"> </w:t>
      </w:r>
      <w:r w:rsidR="00F67EF6">
        <w:rPr>
          <w:rFonts w:ascii="Arial" w:eastAsia="Times New Roman" w:hAnsi="Arial" w:cs="Arial"/>
          <w:lang w:val="en-US"/>
        </w:rPr>
        <w:t>2014/15 funding cycle, R662.</w:t>
      </w:r>
      <w:r w:rsidR="00013B65" w:rsidRPr="000F4525">
        <w:rPr>
          <w:rFonts w:ascii="Arial" w:eastAsia="Times New Roman" w:hAnsi="Arial" w:cs="Arial"/>
          <w:lang w:val="en-US"/>
        </w:rPr>
        <w:t>4 million was invested in teacher education infrastructure.</w:t>
      </w:r>
    </w:p>
    <w:p w:rsidR="00013B65" w:rsidRPr="000F4525" w:rsidRDefault="008376C9" w:rsidP="00EE764E">
      <w:pPr>
        <w:numPr>
          <w:ilvl w:val="0"/>
          <w:numId w:val="7"/>
        </w:numPr>
        <w:spacing w:after="0" w:line="360" w:lineRule="auto"/>
        <w:jc w:val="both"/>
        <w:rPr>
          <w:rFonts w:ascii="Arial" w:eastAsia="Times New Roman" w:hAnsi="Arial" w:cs="Arial"/>
          <w:lang w:val="en-US"/>
        </w:rPr>
      </w:pPr>
      <w:r>
        <w:rPr>
          <w:rFonts w:ascii="Arial" w:eastAsia="Times New Roman" w:hAnsi="Arial" w:cs="Arial"/>
          <w:lang w:val="en-US"/>
        </w:rPr>
        <w:t>P</w:t>
      </w:r>
      <w:r w:rsidR="00C555F0">
        <w:rPr>
          <w:rFonts w:ascii="Arial" w:eastAsia="Times New Roman" w:hAnsi="Arial" w:cs="Arial"/>
          <w:lang w:val="en-US"/>
        </w:rPr>
        <w:t>rovided funding and organis</w:t>
      </w:r>
      <w:r w:rsidR="00013B65" w:rsidRPr="000F4525">
        <w:rPr>
          <w:rFonts w:ascii="Arial" w:eastAsia="Times New Roman" w:hAnsi="Arial" w:cs="Arial"/>
          <w:lang w:val="en-US"/>
        </w:rPr>
        <w:t xml:space="preserve">ational support to JET Education Services to conduct a large-scale, longitudinal study </w:t>
      </w:r>
      <w:r w:rsidR="00F67EF6">
        <w:rPr>
          <w:rFonts w:ascii="Arial" w:eastAsia="Times New Roman" w:hAnsi="Arial" w:cs="Arial"/>
          <w:lang w:val="en-US"/>
        </w:rPr>
        <w:t xml:space="preserve">into initial teacher education and </w:t>
      </w:r>
      <w:r w:rsidR="00013B65" w:rsidRPr="000F4525">
        <w:rPr>
          <w:rFonts w:ascii="Arial" w:eastAsia="Times New Roman" w:hAnsi="Arial" w:cs="Arial"/>
          <w:lang w:val="en-US"/>
        </w:rPr>
        <w:t>identify issues that need to be addressed. The findings of the research are being taken up in the re-curriculation processes that are underway at universities.</w:t>
      </w:r>
    </w:p>
    <w:p w:rsidR="00013B65" w:rsidRPr="00153AEA" w:rsidRDefault="008376C9" w:rsidP="00EE764E">
      <w:pPr>
        <w:numPr>
          <w:ilvl w:val="0"/>
          <w:numId w:val="7"/>
        </w:numPr>
        <w:spacing w:after="0" w:line="360" w:lineRule="auto"/>
        <w:jc w:val="both"/>
        <w:rPr>
          <w:rFonts w:ascii="Arial" w:eastAsia="Times New Roman" w:hAnsi="Arial" w:cs="Arial"/>
          <w:lang w:val="en-US"/>
        </w:rPr>
      </w:pPr>
      <w:r w:rsidRPr="00153AEA">
        <w:rPr>
          <w:rFonts w:ascii="Arial" w:eastAsia="Times New Roman" w:hAnsi="Arial" w:cs="Arial"/>
          <w:lang w:val="en-US"/>
        </w:rPr>
        <w:t>S</w:t>
      </w:r>
      <w:r w:rsidR="00013B65" w:rsidRPr="00153AEA">
        <w:rPr>
          <w:rFonts w:ascii="Arial" w:eastAsia="Times New Roman" w:hAnsi="Arial" w:cs="Arial"/>
          <w:lang w:val="en-US"/>
        </w:rPr>
        <w:t>upported research into the establishment of teaching an</w:t>
      </w:r>
      <w:r w:rsidR="00F67EF6" w:rsidRPr="00153AEA">
        <w:rPr>
          <w:rFonts w:ascii="Arial" w:eastAsia="Times New Roman" w:hAnsi="Arial" w:cs="Arial"/>
          <w:lang w:val="en-US"/>
        </w:rPr>
        <w:t>d professional practice schools</w:t>
      </w:r>
      <w:r w:rsidR="00013B65" w:rsidRPr="00153AEA">
        <w:rPr>
          <w:rFonts w:ascii="Arial" w:eastAsia="Times New Roman" w:hAnsi="Arial" w:cs="Arial"/>
          <w:lang w:val="en-US"/>
        </w:rPr>
        <w:t xml:space="preserve"> with a view to the research informing the development of these schools.</w:t>
      </w:r>
    </w:p>
    <w:p w:rsidR="00013B65" w:rsidRPr="000F4525" w:rsidRDefault="008376C9" w:rsidP="00A65BEE">
      <w:pPr>
        <w:numPr>
          <w:ilvl w:val="0"/>
          <w:numId w:val="7"/>
        </w:numPr>
        <w:spacing w:line="360" w:lineRule="auto"/>
        <w:jc w:val="both"/>
        <w:rPr>
          <w:rFonts w:ascii="Arial" w:eastAsia="Times New Roman" w:hAnsi="Arial" w:cs="Arial"/>
          <w:lang w:val="en-US"/>
        </w:rPr>
      </w:pPr>
      <w:r>
        <w:rPr>
          <w:rFonts w:ascii="Arial" w:eastAsia="Times New Roman" w:hAnsi="Arial" w:cs="Arial"/>
          <w:lang w:val="en-US"/>
        </w:rPr>
        <w:t>I</w:t>
      </w:r>
      <w:r w:rsidR="00013B65" w:rsidRPr="000F4525">
        <w:rPr>
          <w:rFonts w:ascii="Arial" w:eastAsia="Times New Roman" w:hAnsi="Arial" w:cs="Arial"/>
          <w:lang w:val="en-US"/>
        </w:rPr>
        <w:t xml:space="preserve">mplemented the Strengthening Foundation Phase Teacher Education Programme. R141 million has been invested </w:t>
      </w:r>
      <w:r w:rsidR="00A65BEE">
        <w:rPr>
          <w:rFonts w:ascii="Arial" w:eastAsia="Times New Roman" w:hAnsi="Arial" w:cs="Arial"/>
          <w:lang w:val="en-US"/>
        </w:rPr>
        <w:t xml:space="preserve">over the period </w:t>
      </w:r>
      <w:r w:rsidR="00013B65" w:rsidRPr="000F4525">
        <w:rPr>
          <w:rFonts w:ascii="Arial" w:eastAsia="Times New Roman" w:hAnsi="Arial" w:cs="Arial"/>
          <w:lang w:val="en-US"/>
        </w:rPr>
        <w:t>from 2010</w:t>
      </w:r>
      <w:r w:rsidR="00A65BEE">
        <w:rPr>
          <w:rFonts w:ascii="Arial" w:eastAsia="Times New Roman" w:hAnsi="Arial" w:cs="Arial"/>
          <w:lang w:val="en-US"/>
        </w:rPr>
        <w:t xml:space="preserve"> to </w:t>
      </w:r>
      <w:r w:rsidR="00013B65" w:rsidRPr="000F4525">
        <w:rPr>
          <w:rFonts w:ascii="Arial" w:eastAsia="Times New Roman" w:hAnsi="Arial" w:cs="Arial"/>
          <w:lang w:val="en-US"/>
        </w:rPr>
        <w:t>2015. As a result</w:t>
      </w:r>
      <w:r w:rsidR="00A65BEE">
        <w:rPr>
          <w:rFonts w:ascii="Arial" w:eastAsia="Times New Roman" w:hAnsi="Arial" w:cs="Arial"/>
          <w:lang w:val="en-US"/>
        </w:rPr>
        <w:t>,</w:t>
      </w:r>
      <w:r w:rsidR="00013B65" w:rsidRPr="000F4525">
        <w:rPr>
          <w:rFonts w:ascii="Arial" w:eastAsia="Times New Roman" w:hAnsi="Arial" w:cs="Arial"/>
          <w:lang w:val="en-US"/>
        </w:rPr>
        <w:t xml:space="preserve"> </w:t>
      </w:r>
      <w:r w:rsidR="00EA4736" w:rsidRPr="000F4525">
        <w:rPr>
          <w:rFonts w:ascii="Arial" w:eastAsia="Times New Roman" w:hAnsi="Arial" w:cs="Arial"/>
          <w:lang w:val="en-US"/>
        </w:rPr>
        <w:t>t</w:t>
      </w:r>
      <w:r w:rsidR="00013B65" w:rsidRPr="000F4525">
        <w:rPr>
          <w:rFonts w:ascii="Arial" w:eastAsia="Times New Roman" w:hAnsi="Arial" w:cs="Arial"/>
          <w:lang w:val="en-US"/>
        </w:rPr>
        <w:t>he number of universities involved in Foundation Phase teacher education has grown from 13 to 21 universities. The 21 universities have been involved in a range of research, programme development and material development projects</w:t>
      </w:r>
      <w:r>
        <w:rPr>
          <w:rFonts w:ascii="Arial" w:eastAsia="Times New Roman" w:hAnsi="Arial" w:cs="Arial"/>
          <w:lang w:val="en-US"/>
        </w:rPr>
        <w:t>,</w:t>
      </w:r>
      <w:r w:rsidR="00013B65" w:rsidRPr="000F4525">
        <w:rPr>
          <w:rFonts w:ascii="Arial" w:eastAsia="Times New Roman" w:hAnsi="Arial" w:cs="Arial"/>
          <w:lang w:val="en-US"/>
        </w:rPr>
        <w:t xml:space="preserve"> </w:t>
      </w:r>
      <w:r w:rsidR="00EA4736" w:rsidRPr="000F4525">
        <w:rPr>
          <w:rFonts w:ascii="Arial" w:eastAsia="Times New Roman" w:hAnsi="Arial" w:cs="Arial"/>
          <w:lang w:val="en-US"/>
        </w:rPr>
        <w:t xml:space="preserve">and this has resulted in </w:t>
      </w:r>
      <w:r w:rsidR="00013B65" w:rsidRPr="000F4525">
        <w:rPr>
          <w:rFonts w:ascii="Arial" w:eastAsia="Times New Roman" w:hAnsi="Arial" w:cs="Arial"/>
          <w:lang w:val="en-US"/>
        </w:rPr>
        <w:t>new teacher education programmes that will prepare F</w:t>
      </w:r>
      <w:r>
        <w:rPr>
          <w:rFonts w:ascii="Arial" w:eastAsia="Times New Roman" w:hAnsi="Arial" w:cs="Arial"/>
          <w:lang w:val="en-US"/>
        </w:rPr>
        <w:t xml:space="preserve">oundation </w:t>
      </w:r>
      <w:r w:rsidR="00013B65" w:rsidRPr="000F4525">
        <w:rPr>
          <w:rFonts w:ascii="Arial" w:eastAsia="Times New Roman" w:hAnsi="Arial" w:cs="Arial"/>
          <w:lang w:val="en-US"/>
        </w:rPr>
        <w:t>P</w:t>
      </w:r>
      <w:r>
        <w:rPr>
          <w:rFonts w:ascii="Arial" w:eastAsia="Times New Roman" w:hAnsi="Arial" w:cs="Arial"/>
          <w:lang w:val="en-US"/>
        </w:rPr>
        <w:t>hase</w:t>
      </w:r>
      <w:r w:rsidR="00013B65" w:rsidRPr="000F4525">
        <w:rPr>
          <w:rFonts w:ascii="Arial" w:eastAsia="Times New Roman" w:hAnsi="Arial" w:cs="Arial"/>
          <w:lang w:val="en-US"/>
        </w:rPr>
        <w:t xml:space="preserve"> mother tongue teachers in all S</w:t>
      </w:r>
      <w:r>
        <w:rPr>
          <w:rFonts w:ascii="Arial" w:eastAsia="Times New Roman" w:hAnsi="Arial" w:cs="Arial"/>
          <w:lang w:val="en-US"/>
        </w:rPr>
        <w:t xml:space="preserve">outh </w:t>
      </w:r>
      <w:r w:rsidR="00013B65" w:rsidRPr="000F4525">
        <w:rPr>
          <w:rFonts w:ascii="Arial" w:eastAsia="Times New Roman" w:hAnsi="Arial" w:cs="Arial"/>
          <w:lang w:val="en-US"/>
        </w:rPr>
        <w:t>A</w:t>
      </w:r>
      <w:r>
        <w:rPr>
          <w:rFonts w:ascii="Arial" w:eastAsia="Times New Roman" w:hAnsi="Arial" w:cs="Arial"/>
          <w:lang w:val="en-US"/>
        </w:rPr>
        <w:t>frican</w:t>
      </w:r>
      <w:r w:rsidR="00013B65" w:rsidRPr="000F4525">
        <w:rPr>
          <w:rFonts w:ascii="Arial" w:eastAsia="Times New Roman" w:hAnsi="Arial" w:cs="Arial"/>
          <w:lang w:val="en-US"/>
        </w:rPr>
        <w:t xml:space="preserve"> languages.</w:t>
      </w:r>
    </w:p>
    <w:p w:rsidR="004B4580" w:rsidRPr="000F4525" w:rsidRDefault="004B4580" w:rsidP="00A65BEE">
      <w:pPr>
        <w:spacing w:line="360" w:lineRule="auto"/>
        <w:ind w:left="360"/>
        <w:jc w:val="both"/>
        <w:rPr>
          <w:rFonts w:ascii="Arial" w:eastAsia="Times New Roman" w:hAnsi="Arial" w:cs="Arial"/>
          <w:lang w:val="en-US"/>
        </w:rPr>
      </w:pPr>
      <w:r w:rsidRPr="000F4525">
        <w:rPr>
          <w:rFonts w:ascii="Arial" w:eastAsia="Times New Roman" w:hAnsi="Arial" w:cs="Arial"/>
          <w:lang w:val="en-US"/>
        </w:rPr>
        <w:t xml:space="preserve">In addition to the measures that have already been put in place to strengthen teacher education, the Department is implementing a </w:t>
      </w:r>
      <w:r w:rsidR="000B2679">
        <w:rPr>
          <w:rFonts w:ascii="Arial" w:eastAsia="Times New Roman" w:hAnsi="Arial" w:cs="Arial"/>
          <w:lang w:val="en-US"/>
        </w:rPr>
        <w:t>five</w:t>
      </w:r>
      <w:r w:rsidRPr="000F4525">
        <w:rPr>
          <w:rFonts w:ascii="Arial" w:eastAsia="Times New Roman" w:hAnsi="Arial" w:cs="Arial"/>
          <w:lang w:val="en-US"/>
        </w:rPr>
        <w:t xml:space="preserve"> year (2015/16</w:t>
      </w:r>
      <w:r w:rsidR="00EE764E">
        <w:rPr>
          <w:rFonts w:ascii="Arial" w:eastAsia="Times New Roman" w:hAnsi="Arial" w:cs="Arial"/>
          <w:lang w:val="en-US"/>
        </w:rPr>
        <w:t xml:space="preserve"> </w:t>
      </w:r>
      <w:r w:rsidRPr="000F4525">
        <w:rPr>
          <w:rFonts w:ascii="Arial" w:eastAsia="Times New Roman" w:hAnsi="Arial" w:cs="Arial"/>
          <w:lang w:val="en-US"/>
        </w:rPr>
        <w:t>-</w:t>
      </w:r>
      <w:r w:rsidR="00EE764E">
        <w:rPr>
          <w:rFonts w:ascii="Arial" w:eastAsia="Times New Roman" w:hAnsi="Arial" w:cs="Arial"/>
          <w:lang w:val="en-US"/>
        </w:rPr>
        <w:t xml:space="preserve"> </w:t>
      </w:r>
      <w:r w:rsidRPr="000F4525">
        <w:rPr>
          <w:rFonts w:ascii="Arial" w:eastAsia="Times New Roman" w:hAnsi="Arial" w:cs="Arial"/>
          <w:lang w:val="en-US"/>
        </w:rPr>
        <w:t xml:space="preserve">2019/20) Teaching and Learning Development Capacity Improvement Programme </w:t>
      </w:r>
      <w:r w:rsidR="009344EF">
        <w:rPr>
          <w:rFonts w:ascii="Arial" w:eastAsia="Times New Roman" w:hAnsi="Arial" w:cs="Arial"/>
          <w:lang w:val="en-US"/>
        </w:rPr>
        <w:t xml:space="preserve">(TLDCIP) </w:t>
      </w:r>
      <w:r w:rsidRPr="000F4525">
        <w:rPr>
          <w:rFonts w:ascii="Arial" w:eastAsia="Times New Roman" w:hAnsi="Arial" w:cs="Arial"/>
          <w:lang w:val="en-US"/>
        </w:rPr>
        <w:t>that will support universities to strengthen t</w:t>
      </w:r>
      <w:r w:rsidR="00F67EF6">
        <w:rPr>
          <w:rFonts w:ascii="Arial" w:eastAsia="Times New Roman" w:hAnsi="Arial" w:cs="Arial"/>
          <w:lang w:val="en-US"/>
        </w:rPr>
        <w:t xml:space="preserve">eacher education </w:t>
      </w:r>
      <w:r w:rsidRPr="000F4525">
        <w:rPr>
          <w:rFonts w:ascii="Arial" w:eastAsia="Times New Roman" w:hAnsi="Arial" w:cs="Arial"/>
          <w:lang w:val="en-US"/>
        </w:rPr>
        <w:t xml:space="preserve">programmes at the level of curriculum structure and curriculum delivery. </w:t>
      </w:r>
    </w:p>
    <w:p w:rsidR="004B4580" w:rsidRPr="00153AEA" w:rsidRDefault="004B4580" w:rsidP="00EE764E">
      <w:pPr>
        <w:spacing w:after="0" w:line="360" w:lineRule="auto"/>
        <w:ind w:firstLine="360"/>
        <w:jc w:val="both"/>
        <w:rPr>
          <w:rFonts w:ascii="Arial" w:eastAsia="Times New Roman" w:hAnsi="Arial" w:cs="Arial"/>
          <w:bCs/>
          <w:lang w:val="en-US"/>
        </w:rPr>
      </w:pPr>
      <w:r w:rsidRPr="00153AEA">
        <w:rPr>
          <w:rFonts w:ascii="Arial" w:eastAsia="Times New Roman" w:hAnsi="Arial" w:cs="Arial"/>
          <w:lang w:val="en-US"/>
        </w:rPr>
        <w:t>The TLDCIP will</w:t>
      </w:r>
      <w:r w:rsidRPr="00153AEA">
        <w:rPr>
          <w:rFonts w:ascii="Arial" w:eastAsia="Times New Roman" w:hAnsi="Arial" w:cs="Arial"/>
          <w:bCs/>
          <w:lang w:val="en-US"/>
        </w:rPr>
        <w:t>:</w:t>
      </w:r>
    </w:p>
    <w:p w:rsidR="004B4580" w:rsidRPr="00153AEA" w:rsidRDefault="004B4580" w:rsidP="00EE764E">
      <w:pPr>
        <w:numPr>
          <w:ilvl w:val="0"/>
          <w:numId w:val="6"/>
        </w:numPr>
        <w:spacing w:after="0" w:line="360" w:lineRule="auto"/>
        <w:contextualSpacing/>
        <w:jc w:val="both"/>
        <w:rPr>
          <w:rFonts w:ascii="Arial" w:eastAsia="Times New Roman" w:hAnsi="Arial" w:cs="Arial"/>
          <w:bCs/>
          <w:lang w:val="en-ZA"/>
        </w:rPr>
      </w:pPr>
      <w:r w:rsidRPr="00153AEA">
        <w:rPr>
          <w:rFonts w:ascii="Arial" w:eastAsia="Times New Roman" w:hAnsi="Arial" w:cs="Arial"/>
          <w:bCs/>
          <w:lang w:val="en-ZA"/>
        </w:rPr>
        <w:t>Support academic communities of practice focused on priority teaching subject sp</w:t>
      </w:r>
      <w:r w:rsidR="00C555F0">
        <w:rPr>
          <w:rFonts w:ascii="Arial" w:eastAsia="Times New Roman" w:hAnsi="Arial" w:cs="Arial"/>
          <w:bCs/>
          <w:lang w:val="en-ZA"/>
        </w:rPr>
        <w:t>ecialis</w:t>
      </w:r>
      <w:r w:rsidR="00EE764E">
        <w:rPr>
          <w:rFonts w:ascii="Arial" w:eastAsia="Times New Roman" w:hAnsi="Arial" w:cs="Arial"/>
          <w:bCs/>
          <w:lang w:val="en-ZA"/>
        </w:rPr>
        <w:t>ations (M</w:t>
      </w:r>
      <w:r w:rsidR="00EA4736" w:rsidRPr="00153AEA">
        <w:rPr>
          <w:rFonts w:ascii="Arial" w:eastAsia="Times New Roman" w:hAnsi="Arial" w:cs="Arial"/>
          <w:bCs/>
          <w:lang w:val="en-ZA"/>
        </w:rPr>
        <w:t xml:space="preserve">athematics, </w:t>
      </w:r>
      <w:r w:rsidRPr="00153AEA">
        <w:rPr>
          <w:rFonts w:ascii="Arial" w:eastAsia="Times New Roman" w:hAnsi="Arial" w:cs="Arial"/>
          <w:bCs/>
          <w:lang w:val="en-ZA"/>
        </w:rPr>
        <w:t>languages</w:t>
      </w:r>
      <w:r w:rsidR="00EA4736" w:rsidRPr="00153AEA">
        <w:rPr>
          <w:rFonts w:ascii="Arial" w:eastAsia="Times New Roman" w:hAnsi="Arial" w:cs="Arial"/>
          <w:bCs/>
          <w:lang w:val="en-ZA"/>
        </w:rPr>
        <w:t xml:space="preserve"> and literacy</w:t>
      </w:r>
      <w:r w:rsidRPr="00153AEA">
        <w:rPr>
          <w:rFonts w:ascii="Arial" w:eastAsia="Times New Roman" w:hAnsi="Arial" w:cs="Arial"/>
          <w:bCs/>
          <w:lang w:val="en-ZA"/>
        </w:rPr>
        <w:t xml:space="preserve">), which would have the </w:t>
      </w:r>
      <w:r w:rsidRPr="00153AEA">
        <w:rPr>
          <w:rFonts w:ascii="Arial" w:eastAsia="Times New Roman" w:hAnsi="Arial" w:cs="Arial"/>
          <w:bCs/>
          <w:lang w:val="en-ZA"/>
        </w:rPr>
        <w:lastRenderedPageBreak/>
        <w:t>responsibility to understand university practices across the syst</w:t>
      </w:r>
      <w:r w:rsidR="00C555F0">
        <w:rPr>
          <w:rFonts w:ascii="Arial" w:eastAsia="Times New Roman" w:hAnsi="Arial" w:cs="Arial"/>
          <w:bCs/>
          <w:lang w:val="en-ZA"/>
        </w:rPr>
        <w:t>em with respect to the specialis</w:t>
      </w:r>
      <w:r w:rsidRPr="00153AEA">
        <w:rPr>
          <w:rFonts w:ascii="Arial" w:eastAsia="Times New Roman" w:hAnsi="Arial" w:cs="Arial"/>
          <w:bCs/>
          <w:lang w:val="en-ZA"/>
        </w:rPr>
        <w:t>ation, with a view towards the development of knowledge and practice stan</w:t>
      </w:r>
      <w:r w:rsidR="00C555F0">
        <w:rPr>
          <w:rFonts w:ascii="Arial" w:eastAsia="Times New Roman" w:hAnsi="Arial" w:cs="Arial"/>
          <w:bCs/>
          <w:lang w:val="en-ZA"/>
        </w:rPr>
        <w:t>dards for the teaching specialis</w:t>
      </w:r>
      <w:r w:rsidRPr="00153AEA">
        <w:rPr>
          <w:rFonts w:ascii="Arial" w:eastAsia="Times New Roman" w:hAnsi="Arial" w:cs="Arial"/>
          <w:bCs/>
          <w:lang w:val="en-ZA"/>
        </w:rPr>
        <w:t xml:space="preserve">ation, </w:t>
      </w:r>
      <w:r w:rsidR="00EE764E">
        <w:rPr>
          <w:rFonts w:ascii="Arial" w:eastAsia="Times New Roman" w:hAnsi="Arial" w:cs="Arial"/>
          <w:bCs/>
          <w:lang w:val="en-ZA"/>
        </w:rPr>
        <w:t xml:space="preserve">and </w:t>
      </w:r>
      <w:r w:rsidRPr="00153AEA">
        <w:rPr>
          <w:rFonts w:ascii="Arial" w:eastAsia="Times New Roman" w:hAnsi="Arial" w:cs="Arial"/>
          <w:bCs/>
          <w:lang w:val="en-ZA"/>
        </w:rPr>
        <w:t>could assist to achieve greater convergence and rigour in teacher education curricula.</w:t>
      </w:r>
    </w:p>
    <w:p w:rsidR="004B4580" w:rsidRPr="00153AEA" w:rsidRDefault="004B4580" w:rsidP="00EE764E">
      <w:pPr>
        <w:numPr>
          <w:ilvl w:val="0"/>
          <w:numId w:val="6"/>
        </w:numPr>
        <w:spacing w:after="0" w:line="360" w:lineRule="auto"/>
        <w:contextualSpacing/>
        <w:jc w:val="both"/>
        <w:rPr>
          <w:rFonts w:ascii="Arial" w:eastAsia="Times New Roman" w:hAnsi="Arial" w:cs="Arial"/>
          <w:bCs/>
          <w:lang w:val="en-ZA"/>
        </w:rPr>
      </w:pPr>
      <w:r w:rsidRPr="00153AEA">
        <w:rPr>
          <w:rFonts w:ascii="Arial" w:eastAsia="Times New Roman" w:hAnsi="Arial" w:cs="Arial"/>
          <w:bCs/>
          <w:lang w:val="en-ZA"/>
        </w:rPr>
        <w:t>Support appropriate research, programme development and material development activities that will improve the quality of initial teacher education programme delivery.</w:t>
      </w:r>
    </w:p>
    <w:p w:rsidR="004B4580" w:rsidRPr="00153AEA" w:rsidRDefault="004B4580" w:rsidP="00EE764E">
      <w:pPr>
        <w:numPr>
          <w:ilvl w:val="0"/>
          <w:numId w:val="6"/>
        </w:numPr>
        <w:spacing w:after="0" w:line="360" w:lineRule="auto"/>
        <w:contextualSpacing/>
        <w:jc w:val="both"/>
        <w:rPr>
          <w:rFonts w:ascii="Arial" w:eastAsia="Times New Roman" w:hAnsi="Arial" w:cs="Arial"/>
          <w:bCs/>
          <w:lang w:val="en-ZA"/>
        </w:rPr>
      </w:pPr>
      <w:r w:rsidRPr="00153AEA">
        <w:rPr>
          <w:rFonts w:ascii="Arial" w:eastAsia="Times New Roman" w:hAnsi="Arial" w:cs="Arial"/>
          <w:bCs/>
          <w:lang w:val="en-ZA"/>
        </w:rPr>
        <w:t xml:space="preserve">Finalise norms and standards for professional practice schools and teaching schools and mechanisms for their establishment. </w:t>
      </w:r>
    </w:p>
    <w:p w:rsidR="004B4580" w:rsidRPr="00153AEA" w:rsidRDefault="004B4580" w:rsidP="00EE764E">
      <w:pPr>
        <w:numPr>
          <w:ilvl w:val="0"/>
          <w:numId w:val="6"/>
        </w:numPr>
        <w:spacing w:after="0" w:line="360" w:lineRule="auto"/>
        <w:contextualSpacing/>
        <w:jc w:val="both"/>
        <w:rPr>
          <w:rFonts w:ascii="Arial" w:eastAsia="Times New Roman" w:hAnsi="Arial" w:cs="Arial"/>
          <w:bCs/>
          <w:lang w:val="en-ZA"/>
        </w:rPr>
      </w:pPr>
      <w:r w:rsidRPr="00153AEA">
        <w:rPr>
          <w:rFonts w:ascii="Arial" w:eastAsia="Times New Roman" w:hAnsi="Arial" w:cs="Arial"/>
          <w:bCs/>
          <w:lang w:val="en-ZA"/>
        </w:rPr>
        <w:t>Develop a national database of schools that will be developed as professional practice schools.</w:t>
      </w:r>
    </w:p>
    <w:p w:rsidR="004B4580" w:rsidRPr="00153AEA" w:rsidRDefault="004B4580" w:rsidP="00EE764E">
      <w:pPr>
        <w:numPr>
          <w:ilvl w:val="0"/>
          <w:numId w:val="6"/>
        </w:numPr>
        <w:spacing w:after="0" w:line="360" w:lineRule="auto"/>
        <w:contextualSpacing/>
        <w:jc w:val="both"/>
        <w:rPr>
          <w:rFonts w:ascii="Arial" w:eastAsia="Times New Roman" w:hAnsi="Arial" w:cs="Arial"/>
          <w:bCs/>
          <w:lang w:val="en-ZA"/>
        </w:rPr>
      </w:pPr>
      <w:r w:rsidRPr="00153AEA">
        <w:rPr>
          <w:rFonts w:ascii="Arial" w:eastAsia="Times New Roman" w:hAnsi="Arial" w:cs="Arial"/>
          <w:bCs/>
          <w:lang w:val="en-ZA"/>
        </w:rPr>
        <w:t>Support universities to develop business plans for the establishment of teaching schools.</w:t>
      </w:r>
    </w:p>
    <w:p w:rsidR="004B4580" w:rsidRPr="00153AEA" w:rsidRDefault="004B4580" w:rsidP="00EE764E">
      <w:pPr>
        <w:numPr>
          <w:ilvl w:val="0"/>
          <w:numId w:val="6"/>
        </w:numPr>
        <w:spacing w:after="0" w:line="360" w:lineRule="auto"/>
        <w:contextualSpacing/>
        <w:jc w:val="both"/>
        <w:rPr>
          <w:rFonts w:ascii="Arial" w:eastAsia="Times New Roman" w:hAnsi="Arial" w:cs="Arial"/>
          <w:bCs/>
          <w:lang w:val="en-ZA"/>
        </w:rPr>
      </w:pPr>
      <w:r w:rsidRPr="00153AEA">
        <w:rPr>
          <w:rFonts w:ascii="Arial" w:eastAsia="Times New Roman" w:hAnsi="Arial" w:cs="Arial"/>
          <w:bCs/>
          <w:lang w:val="en-ZA"/>
        </w:rPr>
        <w:t>Develop a national programme to support the professional development of school teachers that act as tutors and mentors to initial teacher education students, which can be delivered in a blended mode, with a significant online component.</w:t>
      </w:r>
    </w:p>
    <w:p w:rsidR="004B4580" w:rsidRPr="00153AEA" w:rsidRDefault="004B4580" w:rsidP="00EE764E">
      <w:pPr>
        <w:numPr>
          <w:ilvl w:val="0"/>
          <w:numId w:val="6"/>
        </w:numPr>
        <w:spacing w:line="360" w:lineRule="auto"/>
        <w:ind w:left="714" w:hanging="357"/>
        <w:jc w:val="both"/>
        <w:rPr>
          <w:rFonts w:ascii="Arial" w:eastAsia="Times New Roman" w:hAnsi="Arial" w:cs="Arial"/>
          <w:bCs/>
          <w:lang w:val="en-ZA"/>
        </w:rPr>
      </w:pPr>
      <w:r w:rsidRPr="00153AEA">
        <w:rPr>
          <w:rFonts w:ascii="Arial" w:eastAsia="Times New Roman" w:hAnsi="Arial" w:cs="Arial"/>
          <w:bCs/>
          <w:lang w:val="en-ZA"/>
        </w:rPr>
        <w:t>Develop an online platform/course for the teaching practice/work-integrated learning component of teacher education programmes.</w:t>
      </w:r>
    </w:p>
    <w:p w:rsidR="009769CB" w:rsidRPr="000F4525" w:rsidRDefault="000F74A2" w:rsidP="00A65BEE">
      <w:pPr>
        <w:numPr>
          <w:ilvl w:val="0"/>
          <w:numId w:val="8"/>
        </w:numPr>
        <w:spacing w:line="360" w:lineRule="auto"/>
        <w:jc w:val="both"/>
        <w:rPr>
          <w:rFonts w:ascii="Arial" w:hAnsi="Arial" w:cs="Arial"/>
        </w:rPr>
      </w:pPr>
      <w:r w:rsidRPr="000F4525">
        <w:rPr>
          <w:rFonts w:ascii="Arial" w:hAnsi="Arial" w:cs="Arial"/>
        </w:rPr>
        <w:t xml:space="preserve">The outcome of the </w:t>
      </w:r>
      <w:r w:rsidR="00A82407" w:rsidRPr="000F4525">
        <w:rPr>
          <w:rFonts w:ascii="Arial" w:hAnsi="Arial" w:cs="Arial"/>
        </w:rPr>
        <w:t xml:space="preserve">implementation of the </w:t>
      </w:r>
      <w:r w:rsidRPr="000F4525">
        <w:rPr>
          <w:rFonts w:ascii="Arial" w:hAnsi="Arial" w:cs="Arial"/>
        </w:rPr>
        <w:t xml:space="preserve">new policy regulating teacher education qualifications is that all universities have </w:t>
      </w:r>
      <w:r w:rsidR="002C2804" w:rsidRPr="000F4525">
        <w:rPr>
          <w:rFonts w:ascii="Arial" w:hAnsi="Arial" w:cs="Arial"/>
        </w:rPr>
        <w:t xml:space="preserve">been required </w:t>
      </w:r>
      <w:r w:rsidRPr="000F4525">
        <w:rPr>
          <w:rFonts w:ascii="Arial" w:hAnsi="Arial" w:cs="Arial"/>
        </w:rPr>
        <w:t xml:space="preserve">to redesign their teacher education programmes and submit them to the national </w:t>
      </w:r>
      <w:r w:rsidR="00F67EF6">
        <w:rPr>
          <w:rFonts w:ascii="Arial" w:hAnsi="Arial" w:cs="Arial"/>
        </w:rPr>
        <w:t>TEPEC</w:t>
      </w:r>
      <w:r w:rsidRPr="000F4525">
        <w:rPr>
          <w:rFonts w:ascii="Arial" w:hAnsi="Arial" w:cs="Arial"/>
        </w:rPr>
        <w:t xml:space="preserve"> for review, prior to having them accredited by the Council on Higher Education. The new policy, re-curriculation process</w:t>
      </w:r>
      <w:r w:rsidR="000F4525">
        <w:rPr>
          <w:rFonts w:ascii="Arial" w:hAnsi="Arial" w:cs="Arial"/>
        </w:rPr>
        <w:t xml:space="preserve">, </w:t>
      </w:r>
      <w:r w:rsidRPr="000F4525">
        <w:rPr>
          <w:rFonts w:ascii="Arial" w:hAnsi="Arial" w:cs="Arial"/>
        </w:rPr>
        <w:t xml:space="preserve">strengthened national oversight processes </w:t>
      </w:r>
      <w:r w:rsidR="000F4525">
        <w:rPr>
          <w:rFonts w:ascii="Arial" w:hAnsi="Arial" w:cs="Arial"/>
        </w:rPr>
        <w:t xml:space="preserve">and </w:t>
      </w:r>
      <w:r w:rsidR="00C555F0">
        <w:rPr>
          <w:rFonts w:ascii="Arial" w:hAnsi="Arial" w:cs="Arial"/>
        </w:rPr>
        <w:t xml:space="preserve">the </w:t>
      </w:r>
      <w:r w:rsidR="000F4525">
        <w:rPr>
          <w:rFonts w:ascii="Arial" w:hAnsi="Arial" w:cs="Arial"/>
        </w:rPr>
        <w:t xml:space="preserve">range of concrete activities that have been undertaken to support policy implementation </w:t>
      </w:r>
      <w:r w:rsidRPr="000F4525">
        <w:rPr>
          <w:rFonts w:ascii="Arial" w:hAnsi="Arial" w:cs="Arial"/>
        </w:rPr>
        <w:t>will result in stronger teacher education programmes producing teachers that are more strongly grounded in the knowledge and practice required to teach their subject specialisations in diverse South African classroom contexts.</w:t>
      </w:r>
      <w:r w:rsidR="00A82407" w:rsidRPr="000F4525">
        <w:rPr>
          <w:rFonts w:ascii="Arial" w:hAnsi="Arial" w:cs="Arial"/>
        </w:rPr>
        <w:t xml:space="preserve"> </w:t>
      </w:r>
    </w:p>
    <w:p w:rsidR="00C654A2" w:rsidRPr="003C5A76" w:rsidRDefault="008376C9" w:rsidP="00CE7527">
      <w:pPr>
        <w:spacing w:after="0" w:line="360" w:lineRule="auto"/>
        <w:jc w:val="both"/>
        <w:rPr>
          <w:rFonts w:ascii="Arial" w:hAnsi="Arial" w:cs="Arial"/>
        </w:rPr>
      </w:pPr>
      <w:r>
        <w:rPr>
          <w:rFonts w:ascii="Arial" w:hAnsi="Arial" w:cs="Arial"/>
        </w:rPr>
        <w:br w:type="page"/>
      </w:r>
      <w:r w:rsidR="009954C4">
        <w:rPr>
          <w:rFonts w:ascii="Arial" w:hAnsi="Arial" w:cs="Arial"/>
        </w:rPr>
        <w:lastRenderedPageBreak/>
        <w:t>Compiler/</w:t>
      </w:r>
      <w:r w:rsidR="008B0A27">
        <w:rPr>
          <w:rFonts w:ascii="Arial" w:hAnsi="Arial" w:cs="Arial"/>
        </w:rPr>
        <w:t>contact persons:</w:t>
      </w:r>
      <w:r w:rsidR="0071591A" w:rsidRPr="00B42D63">
        <w:rPr>
          <w:rFonts w:ascii="Arial" w:hAnsi="Arial" w:cs="Arial"/>
        </w:rPr>
        <w:t xml:space="preserve"> </w:t>
      </w:r>
      <w:r w:rsidR="00B12B2C">
        <w:rPr>
          <w:rFonts w:ascii="Arial" w:hAnsi="Arial" w:cs="Arial"/>
        </w:rPr>
        <w:t>Dr WJ Green</w:t>
      </w:r>
    </w:p>
    <w:p w:rsidR="00C3677B" w:rsidRPr="003C5A76" w:rsidRDefault="00B42D63" w:rsidP="00CD33FE">
      <w:pPr>
        <w:spacing w:line="360" w:lineRule="auto"/>
        <w:jc w:val="both"/>
        <w:rPr>
          <w:rFonts w:ascii="Arial" w:hAnsi="Arial" w:cs="Arial"/>
        </w:rPr>
      </w:pPr>
      <w:r>
        <w:rPr>
          <w:rFonts w:ascii="Arial" w:hAnsi="Arial" w:cs="Arial"/>
        </w:rPr>
        <w:t xml:space="preserve">Ext: </w:t>
      </w:r>
      <w:r w:rsidR="00B12B2C">
        <w:rPr>
          <w:rFonts w:ascii="Arial" w:hAnsi="Arial" w:cs="Arial"/>
        </w:rPr>
        <w:t>5912</w:t>
      </w:r>
    </w:p>
    <w:p w:rsidR="00C3677B" w:rsidRDefault="00C3677B"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B12B2C" w:rsidRPr="003C5A76" w:rsidRDefault="00B12B2C"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DIRECTOR –</w:t>
      </w:r>
      <w:r w:rsidR="00DE6F6F">
        <w:rPr>
          <w:rFonts w:ascii="Arial" w:hAnsi="Arial" w:cs="Arial"/>
        </w:rPr>
        <w:t xml:space="preserve"> </w:t>
      </w:r>
      <w:r w:rsidRPr="003C5A76">
        <w:rPr>
          <w:rFonts w:ascii="Arial" w:hAnsi="Arial" w:cs="Arial"/>
        </w:rPr>
        <w:t>GENERAL</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p w:rsidR="00245A6B" w:rsidRDefault="00245A6B" w:rsidP="00DC256F">
      <w:pPr>
        <w:spacing w:line="360" w:lineRule="auto"/>
        <w:jc w:val="both"/>
        <w:rPr>
          <w:rFonts w:ascii="Arial" w:hAnsi="Arial" w:cs="Arial"/>
        </w:rPr>
      </w:pPr>
    </w:p>
    <w:p w:rsidR="002021D6" w:rsidRDefault="002021D6" w:rsidP="00DC256F">
      <w:pPr>
        <w:spacing w:line="360" w:lineRule="auto"/>
        <w:jc w:val="both"/>
        <w:rPr>
          <w:rFonts w:ascii="Arial" w:hAnsi="Arial" w:cs="Arial"/>
        </w:rPr>
      </w:pPr>
    </w:p>
    <w:p w:rsidR="002021D6" w:rsidRDefault="002021D6" w:rsidP="00DC256F">
      <w:pPr>
        <w:spacing w:line="360" w:lineRule="auto"/>
        <w:jc w:val="both"/>
        <w:rPr>
          <w:rFonts w:ascii="Arial" w:hAnsi="Arial" w:cs="Arial"/>
        </w:rPr>
      </w:pPr>
    </w:p>
    <w:p w:rsidR="002021D6" w:rsidRDefault="002021D6" w:rsidP="00DC256F">
      <w:pPr>
        <w:spacing w:line="360" w:lineRule="auto"/>
        <w:jc w:val="both"/>
        <w:rPr>
          <w:rFonts w:ascii="Arial" w:hAnsi="Arial" w:cs="Arial"/>
        </w:rPr>
      </w:pPr>
    </w:p>
    <w:p w:rsidR="00C3677B" w:rsidRPr="003C5A76" w:rsidRDefault="00783AE6" w:rsidP="00DC256F">
      <w:pPr>
        <w:spacing w:line="360" w:lineRule="auto"/>
        <w:jc w:val="both"/>
        <w:rPr>
          <w:rFonts w:ascii="Arial" w:hAnsi="Arial" w:cs="Arial"/>
        </w:rPr>
      </w:pPr>
      <w:r>
        <w:rPr>
          <w:rFonts w:ascii="Arial" w:hAnsi="Arial" w:cs="Arial"/>
        </w:rPr>
        <w:t xml:space="preserve">REPLY TO </w:t>
      </w:r>
      <w:r w:rsidR="00C3677B" w:rsidRPr="003C5A76">
        <w:rPr>
          <w:rFonts w:ascii="Arial" w:hAnsi="Arial" w:cs="Arial"/>
        </w:rPr>
        <w:t xml:space="preserve">QUESTION </w:t>
      </w:r>
      <w:r w:rsidR="00385B2D">
        <w:rPr>
          <w:rFonts w:ascii="Arial" w:hAnsi="Arial" w:cs="Arial"/>
        </w:rPr>
        <w:t>719</w:t>
      </w:r>
      <w:r w:rsidR="005C6ED1">
        <w:rPr>
          <w:rFonts w:ascii="Arial" w:hAnsi="Arial" w:cs="Arial"/>
        </w:rPr>
        <w:t xml:space="preserve"> </w:t>
      </w:r>
      <w:r w:rsidR="00C3677B" w:rsidRPr="003C5A76">
        <w:rPr>
          <w:rFonts w:ascii="Arial" w:hAnsi="Arial" w:cs="Arial"/>
        </w:rPr>
        <w:t xml:space="preserve">APPROVED/NOT APPROVED/AMENDED </w:t>
      </w:r>
    </w:p>
    <w:p w:rsidR="00C3677B" w:rsidRPr="003C5A76" w:rsidRDefault="00C3677B" w:rsidP="00DC256F">
      <w:pPr>
        <w:spacing w:line="360" w:lineRule="auto"/>
        <w:jc w:val="both"/>
        <w:rPr>
          <w:rFonts w:ascii="Arial" w:hAnsi="Arial" w:cs="Arial"/>
        </w:rPr>
      </w:pPr>
    </w:p>
    <w:p w:rsidR="00245A6B" w:rsidRDefault="00245A6B" w:rsidP="00DC256F">
      <w:pPr>
        <w:spacing w:line="360" w:lineRule="auto"/>
        <w:jc w:val="both"/>
        <w:rPr>
          <w:rFonts w:ascii="Arial" w:hAnsi="Arial" w:cs="Arial"/>
        </w:rPr>
      </w:pPr>
    </w:p>
    <w:p w:rsidR="00A0228E" w:rsidRDefault="00A0228E" w:rsidP="00DC256F">
      <w:pPr>
        <w:spacing w:line="360" w:lineRule="auto"/>
        <w:jc w:val="both"/>
        <w:rPr>
          <w:rFonts w:ascii="Arial" w:hAnsi="Arial" w:cs="Arial"/>
        </w:rPr>
      </w:pPr>
    </w:p>
    <w:p w:rsidR="003E455E" w:rsidRPr="003C5A76" w:rsidRDefault="003E455E"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p>
    <w:p w:rsidR="00C3677B" w:rsidRPr="003C5A76" w:rsidRDefault="00C3677B" w:rsidP="00DC256F">
      <w:pPr>
        <w:spacing w:line="360" w:lineRule="auto"/>
        <w:jc w:val="both"/>
        <w:rPr>
          <w:rFonts w:ascii="Arial" w:hAnsi="Arial" w:cs="Arial"/>
        </w:rPr>
      </w:pPr>
      <w:r w:rsidRPr="003C5A76">
        <w:rPr>
          <w:rFonts w:ascii="Arial" w:hAnsi="Arial" w:cs="Arial"/>
        </w:rPr>
        <w:t>Dr B</w:t>
      </w:r>
      <w:r w:rsidR="0047578B">
        <w:rPr>
          <w:rFonts w:ascii="Arial" w:hAnsi="Arial" w:cs="Arial"/>
        </w:rPr>
        <w:t>E</w:t>
      </w:r>
      <w:r w:rsidRPr="003C5A76">
        <w:rPr>
          <w:rFonts w:ascii="Arial" w:hAnsi="Arial" w:cs="Arial"/>
        </w:rPr>
        <w:t xml:space="preserve"> NZIMANDE, MP</w:t>
      </w:r>
    </w:p>
    <w:p w:rsidR="00C3677B" w:rsidRPr="003C5A76" w:rsidRDefault="00C3677B" w:rsidP="00DC256F">
      <w:pPr>
        <w:spacing w:line="360" w:lineRule="auto"/>
        <w:jc w:val="both"/>
        <w:rPr>
          <w:rFonts w:ascii="Arial" w:hAnsi="Arial" w:cs="Arial"/>
        </w:rPr>
      </w:pPr>
      <w:r w:rsidRPr="003C5A76">
        <w:rPr>
          <w:rFonts w:ascii="Arial" w:hAnsi="Arial" w:cs="Arial"/>
        </w:rPr>
        <w:t>MINISTER OF HIGHER EDUCATION AND TRAINING</w:t>
      </w:r>
    </w:p>
    <w:p w:rsidR="00C3677B" w:rsidRPr="003C5A76" w:rsidRDefault="00C3677B" w:rsidP="00DC256F">
      <w:pPr>
        <w:spacing w:line="360" w:lineRule="auto"/>
        <w:jc w:val="both"/>
        <w:rPr>
          <w:rFonts w:ascii="Arial" w:hAnsi="Arial" w:cs="Arial"/>
        </w:rPr>
      </w:pPr>
      <w:r w:rsidRPr="003C5A76">
        <w:rPr>
          <w:rFonts w:ascii="Arial" w:hAnsi="Arial" w:cs="Arial"/>
        </w:rPr>
        <w:t>STATUS:</w:t>
      </w:r>
    </w:p>
    <w:p w:rsidR="00C3677B" w:rsidRPr="003C5A76" w:rsidRDefault="00C3677B" w:rsidP="00DC256F">
      <w:pPr>
        <w:spacing w:line="360" w:lineRule="auto"/>
        <w:jc w:val="both"/>
        <w:rPr>
          <w:rFonts w:ascii="Arial" w:hAnsi="Arial" w:cs="Arial"/>
        </w:rPr>
      </w:pPr>
      <w:r w:rsidRPr="003C5A76">
        <w:rPr>
          <w:rFonts w:ascii="Arial" w:hAnsi="Arial" w:cs="Arial"/>
        </w:rPr>
        <w:t>DATE:</w:t>
      </w:r>
    </w:p>
    <w:sectPr w:rsidR="00C3677B" w:rsidRPr="003C5A76" w:rsidSect="0015436C">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47" w:rsidRDefault="00265647" w:rsidP="00741A11">
      <w:pPr>
        <w:spacing w:after="0" w:line="240" w:lineRule="auto"/>
      </w:pPr>
      <w:r>
        <w:separator/>
      </w:r>
    </w:p>
  </w:endnote>
  <w:endnote w:type="continuationSeparator" w:id="0">
    <w:p w:rsidR="00265647" w:rsidRDefault="00265647" w:rsidP="00741A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47" w:rsidRDefault="00265647" w:rsidP="00741A11">
      <w:pPr>
        <w:spacing w:after="0" w:line="240" w:lineRule="auto"/>
      </w:pPr>
      <w:r>
        <w:separator/>
      </w:r>
    </w:p>
  </w:footnote>
  <w:footnote w:type="continuationSeparator" w:id="0">
    <w:p w:rsidR="00265647" w:rsidRDefault="00265647" w:rsidP="00741A11">
      <w:pPr>
        <w:spacing w:after="0" w:line="240" w:lineRule="auto"/>
      </w:pPr>
      <w:r>
        <w:continuationSeparator/>
      </w:r>
    </w:p>
  </w:footnote>
  <w:footnote w:id="1">
    <w:p w:rsidR="00B12B2C" w:rsidRPr="00C555F0" w:rsidRDefault="00B12B2C" w:rsidP="00B12B2C">
      <w:pPr>
        <w:pStyle w:val="FootnoteText"/>
        <w:rPr>
          <w:rFonts w:ascii="Arial" w:hAnsi="Arial" w:cs="Arial"/>
          <w:b/>
          <w:sz w:val="18"/>
          <w:lang w:val="en-US"/>
        </w:rPr>
      </w:pPr>
      <w:r w:rsidRPr="00C555F0">
        <w:rPr>
          <w:rStyle w:val="FootnoteReference"/>
          <w:rFonts w:ascii="Arial" w:hAnsi="Arial" w:cs="Arial"/>
          <w:b/>
          <w:sz w:val="18"/>
        </w:rPr>
        <w:footnoteRef/>
      </w:r>
      <w:r w:rsidRPr="00C555F0">
        <w:rPr>
          <w:rFonts w:ascii="Arial" w:hAnsi="Arial" w:cs="Arial"/>
          <w:b/>
          <w:sz w:val="18"/>
        </w:rPr>
        <w:t xml:space="preserve"> In the case of students whose language of choice (or first language) is English or Afrikaans, this needs to be one of the nine other official languages or South African Sign Language.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3A9E"/>
    <w:multiLevelType w:val="hybridMultilevel"/>
    <w:tmpl w:val="FD6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2">
    <w:nsid w:val="0D4257DD"/>
    <w:multiLevelType w:val="hybridMultilevel"/>
    <w:tmpl w:val="22A6A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8FB39D5"/>
    <w:multiLevelType w:val="hybridMultilevel"/>
    <w:tmpl w:val="CE10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074D0"/>
    <w:multiLevelType w:val="hybridMultilevel"/>
    <w:tmpl w:val="2F2E4F68"/>
    <w:lvl w:ilvl="0" w:tplc="18D4E12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360573C"/>
    <w:multiLevelType w:val="hybridMultilevel"/>
    <w:tmpl w:val="E5A468D6"/>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4235A65"/>
    <w:multiLevelType w:val="hybridMultilevel"/>
    <w:tmpl w:val="53BC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3863CD"/>
    <w:multiLevelType w:val="hybridMultilevel"/>
    <w:tmpl w:val="AEAEFB80"/>
    <w:lvl w:ilvl="0" w:tplc="55762AB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7"/>
  </w:num>
  <w:num w:numId="5">
    <w:abstractNumId w:val="0"/>
  </w:num>
  <w:num w:numId="6">
    <w:abstractNumId w:val="3"/>
  </w:num>
  <w:num w:numId="7">
    <w:abstractNumId w:val="6"/>
  </w:num>
  <w:num w:numId="8">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13B65"/>
    <w:rsid w:val="000260DC"/>
    <w:rsid w:val="000262F1"/>
    <w:rsid w:val="0004639E"/>
    <w:rsid w:val="000579B9"/>
    <w:rsid w:val="00063A3A"/>
    <w:rsid w:val="00075314"/>
    <w:rsid w:val="00087811"/>
    <w:rsid w:val="000A02C9"/>
    <w:rsid w:val="000A0D33"/>
    <w:rsid w:val="000B2679"/>
    <w:rsid w:val="000B4042"/>
    <w:rsid w:val="000E1582"/>
    <w:rsid w:val="000F4525"/>
    <w:rsid w:val="000F74A2"/>
    <w:rsid w:val="00102241"/>
    <w:rsid w:val="0010402E"/>
    <w:rsid w:val="0010795D"/>
    <w:rsid w:val="00125282"/>
    <w:rsid w:val="00135E62"/>
    <w:rsid w:val="00147BA4"/>
    <w:rsid w:val="00153AEA"/>
    <w:rsid w:val="0015436C"/>
    <w:rsid w:val="00154A43"/>
    <w:rsid w:val="0017030D"/>
    <w:rsid w:val="00191755"/>
    <w:rsid w:val="001A01DC"/>
    <w:rsid w:val="001A1252"/>
    <w:rsid w:val="001A277A"/>
    <w:rsid w:val="001C33B5"/>
    <w:rsid w:val="001C6A3B"/>
    <w:rsid w:val="001D7C6A"/>
    <w:rsid w:val="001E36DF"/>
    <w:rsid w:val="001F4B7D"/>
    <w:rsid w:val="002021D6"/>
    <w:rsid w:val="002043C3"/>
    <w:rsid w:val="0020779F"/>
    <w:rsid w:val="00217678"/>
    <w:rsid w:val="002264C4"/>
    <w:rsid w:val="00231F70"/>
    <w:rsid w:val="00233263"/>
    <w:rsid w:val="00245A6B"/>
    <w:rsid w:val="00250110"/>
    <w:rsid w:val="00264295"/>
    <w:rsid w:val="00265647"/>
    <w:rsid w:val="00265A26"/>
    <w:rsid w:val="00265A88"/>
    <w:rsid w:val="002670F8"/>
    <w:rsid w:val="00270825"/>
    <w:rsid w:val="00270D17"/>
    <w:rsid w:val="0029157E"/>
    <w:rsid w:val="002937B8"/>
    <w:rsid w:val="0029445D"/>
    <w:rsid w:val="002A7DF4"/>
    <w:rsid w:val="002C16FF"/>
    <w:rsid w:val="002C1EE8"/>
    <w:rsid w:val="002C2804"/>
    <w:rsid w:val="002C60A6"/>
    <w:rsid w:val="002D1424"/>
    <w:rsid w:val="002E3161"/>
    <w:rsid w:val="002F4DC9"/>
    <w:rsid w:val="002F6B49"/>
    <w:rsid w:val="00300C93"/>
    <w:rsid w:val="00305BF7"/>
    <w:rsid w:val="00313A4B"/>
    <w:rsid w:val="00315B13"/>
    <w:rsid w:val="003309B5"/>
    <w:rsid w:val="00344509"/>
    <w:rsid w:val="0034605E"/>
    <w:rsid w:val="003517A1"/>
    <w:rsid w:val="00351E0F"/>
    <w:rsid w:val="0035694A"/>
    <w:rsid w:val="00361776"/>
    <w:rsid w:val="0037732E"/>
    <w:rsid w:val="00385B2D"/>
    <w:rsid w:val="00387EBB"/>
    <w:rsid w:val="00392428"/>
    <w:rsid w:val="003A7BFD"/>
    <w:rsid w:val="003B48F6"/>
    <w:rsid w:val="003C5A76"/>
    <w:rsid w:val="003D5AE8"/>
    <w:rsid w:val="003D7858"/>
    <w:rsid w:val="003D790C"/>
    <w:rsid w:val="003E2F70"/>
    <w:rsid w:val="003E455E"/>
    <w:rsid w:val="003E4906"/>
    <w:rsid w:val="00410478"/>
    <w:rsid w:val="004170C3"/>
    <w:rsid w:val="00422B30"/>
    <w:rsid w:val="004312FC"/>
    <w:rsid w:val="0043279D"/>
    <w:rsid w:val="004457FC"/>
    <w:rsid w:val="00457688"/>
    <w:rsid w:val="00463025"/>
    <w:rsid w:val="004672ED"/>
    <w:rsid w:val="0047578B"/>
    <w:rsid w:val="004800DC"/>
    <w:rsid w:val="00492A36"/>
    <w:rsid w:val="004965B4"/>
    <w:rsid w:val="004B4580"/>
    <w:rsid w:val="004B7E13"/>
    <w:rsid w:val="004C4F38"/>
    <w:rsid w:val="004D2BE1"/>
    <w:rsid w:val="004D74FD"/>
    <w:rsid w:val="004E0458"/>
    <w:rsid w:val="00504B93"/>
    <w:rsid w:val="00506E45"/>
    <w:rsid w:val="005127E5"/>
    <w:rsid w:val="005223B8"/>
    <w:rsid w:val="005237E8"/>
    <w:rsid w:val="00543593"/>
    <w:rsid w:val="0054768E"/>
    <w:rsid w:val="00552E00"/>
    <w:rsid w:val="005577D9"/>
    <w:rsid w:val="0056647C"/>
    <w:rsid w:val="00571740"/>
    <w:rsid w:val="00574DBC"/>
    <w:rsid w:val="00585D0E"/>
    <w:rsid w:val="005A1C6B"/>
    <w:rsid w:val="005A46E3"/>
    <w:rsid w:val="005B4004"/>
    <w:rsid w:val="005B696E"/>
    <w:rsid w:val="005C0BA4"/>
    <w:rsid w:val="005C2051"/>
    <w:rsid w:val="005C4278"/>
    <w:rsid w:val="005C5AE9"/>
    <w:rsid w:val="005C6ED1"/>
    <w:rsid w:val="005D0DA9"/>
    <w:rsid w:val="005D1748"/>
    <w:rsid w:val="005D205B"/>
    <w:rsid w:val="005F16B5"/>
    <w:rsid w:val="00602765"/>
    <w:rsid w:val="006034E7"/>
    <w:rsid w:val="00613250"/>
    <w:rsid w:val="006172DA"/>
    <w:rsid w:val="00620EFD"/>
    <w:rsid w:val="00621FE9"/>
    <w:rsid w:val="0063048F"/>
    <w:rsid w:val="00632EDF"/>
    <w:rsid w:val="00646994"/>
    <w:rsid w:val="00653C00"/>
    <w:rsid w:val="006552F7"/>
    <w:rsid w:val="0065728F"/>
    <w:rsid w:val="006639B1"/>
    <w:rsid w:val="00667ADE"/>
    <w:rsid w:val="0068734A"/>
    <w:rsid w:val="006906B4"/>
    <w:rsid w:val="00691C91"/>
    <w:rsid w:val="006965DC"/>
    <w:rsid w:val="00697B7E"/>
    <w:rsid w:val="006A5D9D"/>
    <w:rsid w:val="006B438D"/>
    <w:rsid w:val="006B5024"/>
    <w:rsid w:val="006C0B66"/>
    <w:rsid w:val="006E3002"/>
    <w:rsid w:val="006E3244"/>
    <w:rsid w:val="006F73ED"/>
    <w:rsid w:val="00702601"/>
    <w:rsid w:val="00702F9A"/>
    <w:rsid w:val="00707E92"/>
    <w:rsid w:val="007141FA"/>
    <w:rsid w:val="00714E5D"/>
    <w:rsid w:val="00714E82"/>
    <w:rsid w:val="0071591A"/>
    <w:rsid w:val="007339C4"/>
    <w:rsid w:val="00740B88"/>
    <w:rsid w:val="00741A11"/>
    <w:rsid w:val="0075414E"/>
    <w:rsid w:val="00763A07"/>
    <w:rsid w:val="00766ABE"/>
    <w:rsid w:val="00766ADD"/>
    <w:rsid w:val="00770DA0"/>
    <w:rsid w:val="007775FD"/>
    <w:rsid w:val="007810CD"/>
    <w:rsid w:val="00783AE6"/>
    <w:rsid w:val="007B4860"/>
    <w:rsid w:val="007C27B6"/>
    <w:rsid w:val="007C7109"/>
    <w:rsid w:val="007D7318"/>
    <w:rsid w:val="007E2295"/>
    <w:rsid w:val="007E26C5"/>
    <w:rsid w:val="007E667A"/>
    <w:rsid w:val="007F068D"/>
    <w:rsid w:val="007F2ADC"/>
    <w:rsid w:val="007F2D57"/>
    <w:rsid w:val="007F7092"/>
    <w:rsid w:val="0080256A"/>
    <w:rsid w:val="00807715"/>
    <w:rsid w:val="00810FD4"/>
    <w:rsid w:val="00814FBE"/>
    <w:rsid w:val="00824D7E"/>
    <w:rsid w:val="00831B1D"/>
    <w:rsid w:val="008376C9"/>
    <w:rsid w:val="008455F2"/>
    <w:rsid w:val="00857AAF"/>
    <w:rsid w:val="00874346"/>
    <w:rsid w:val="0088522F"/>
    <w:rsid w:val="00885BE0"/>
    <w:rsid w:val="008950F7"/>
    <w:rsid w:val="008A3B84"/>
    <w:rsid w:val="008A5D41"/>
    <w:rsid w:val="008A666F"/>
    <w:rsid w:val="008B0A27"/>
    <w:rsid w:val="008B65EA"/>
    <w:rsid w:val="008B6923"/>
    <w:rsid w:val="008C1D05"/>
    <w:rsid w:val="008C68C5"/>
    <w:rsid w:val="008C7B8D"/>
    <w:rsid w:val="008D1EC2"/>
    <w:rsid w:val="008D633E"/>
    <w:rsid w:val="008E1777"/>
    <w:rsid w:val="00906DE8"/>
    <w:rsid w:val="00907B99"/>
    <w:rsid w:val="00914499"/>
    <w:rsid w:val="00925943"/>
    <w:rsid w:val="00933AC1"/>
    <w:rsid w:val="00933C19"/>
    <w:rsid w:val="009344EF"/>
    <w:rsid w:val="0093534E"/>
    <w:rsid w:val="0095081D"/>
    <w:rsid w:val="00954E9D"/>
    <w:rsid w:val="00963DA4"/>
    <w:rsid w:val="009642B8"/>
    <w:rsid w:val="009754EB"/>
    <w:rsid w:val="009769CB"/>
    <w:rsid w:val="00983CE4"/>
    <w:rsid w:val="009849D9"/>
    <w:rsid w:val="009927D3"/>
    <w:rsid w:val="009954C4"/>
    <w:rsid w:val="009A0102"/>
    <w:rsid w:val="009A0326"/>
    <w:rsid w:val="009A0F27"/>
    <w:rsid w:val="009A4385"/>
    <w:rsid w:val="009B0E09"/>
    <w:rsid w:val="009B4543"/>
    <w:rsid w:val="009C1C15"/>
    <w:rsid w:val="009D010F"/>
    <w:rsid w:val="009D3C62"/>
    <w:rsid w:val="009E5B1D"/>
    <w:rsid w:val="009F072D"/>
    <w:rsid w:val="009F3FAA"/>
    <w:rsid w:val="009F5D4E"/>
    <w:rsid w:val="009F6FEA"/>
    <w:rsid w:val="00A009CF"/>
    <w:rsid w:val="00A0228E"/>
    <w:rsid w:val="00A03F44"/>
    <w:rsid w:val="00A173E2"/>
    <w:rsid w:val="00A22634"/>
    <w:rsid w:val="00A37101"/>
    <w:rsid w:val="00A4607B"/>
    <w:rsid w:val="00A51526"/>
    <w:rsid w:val="00A6096E"/>
    <w:rsid w:val="00A65BEE"/>
    <w:rsid w:val="00A8120A"/>
    <w:rsid w:val="00A82407"/>
    <w:rsid w:val="00A83C57"/>
    <w:rsid w:val="00A858CE"/>
    <w:rsid w:val="00A91840"/>
    <w:rsid w:val="00A9633F"/>
    <w:rsid w:val="00AA0A30"/>
    <w:rsid w:val="00AA246C"/>
    <w:rsid w:val="00AA3944"/>
    <w:rsid w:val="00AB0621"/>
    <w:rsid w:val="00AE0682"/>
    <w:rsid w:val="00AE3241"/>
    <w:rsid w:val="00B122E9"/>
    <w:rsid w:val="00B12389"/>
    <w:rsid w:val="00B12B2C"/>
    <w:rsid w:val="00B16C29"/>
    <w:rsid w:val="00B32FD8"/>
    <w:rsid w:val="00B4178D"/>
    <w:rsid w:val="00B42D63"/>
    <w:rsid w:val="00B43DD3"/>
    <w:rsid w:val="00B757E2"/>
    <w:rsid w:val="00B8067B"/>
    <w:rsid w:val="00B8505E"/>
    <w:rsid w:val="00B93D55"/>
    <w:rsid w:val="00B9731E"/>
    <w:rsid w:val="00BC6170"/>
    <w:rsid w:val="00BD61B3"/>
    <w:rsid w:val="00BE1AAF"/>
    <w:rsid w:val="00BE2524"/>
    <w:rsid w:val="00BE3789"/>
    <w:rsid w:val="00C31C40"/>
    <w:rsid w:val="00C357BA"/>
    <w:rsid w:val="00C3677B"/>
    <w:rsid w:val="00C37956"/>
    <w:rsid w:val="00C42323"/>
    <w:rsid w:val="00C441E6"/>
    <w:rsid w:val="00C50064"/>
    <w:rsid w:val="00C555F0"/>
    <w:rsid w:val="00C5638F"/>
    <w:rsid w:val="00C5785E"/>
    <w:rsid w:val="00C62B07"/>
    <w:rsid w:val="00C654A2"/>
    <w:rsid w:val="00C70F6C"/>
    <w:rsid w:val="00C72AC2"/>
    <w:rsid w:val="00C73D89"/>
    <w:rsid w:val="00C865AF"/>
    <w:rsid w:val="00C8668A"/>
    <w:rsid w:val="00C9549B"/>
    <w:rsid w:val="00CA1F30"/>
    <w:rsid w:val="00CA541F"/>
    <w:rsid w:val="00CB144F"/>
    <w:rsid w:val="00CB4850"/>
    <w:rsid w:val="00CB5B44"/>
    <w:rsid w:val="00CB7FE9"/>
    <w:rsid w:val="00CC0CBD"/>
    <w:rsid w:val="00CC53DC"/>
    <w:rsid w:val="00CD0026"/>
    <w:rsid w:val="00CD33FE"/>
    <w:rsid w:val="00CD4A4F"/>
    <w:rsid w:val="00CE7527"/>
    <w:rsid w:val="00CF0B4E"/>
    <w:rsid w:val="00CF197B"/>
    <w:rsid w:val="00D00C74"/>
    <w:rsid w:val="00D066CD"/>
    <w:rsid w:val="00D104BB"/>
    <w:rsid w:val="00D114C4"/>
    <w:rsid w:val="00D167B0"/>
    <w:rsid w:val="00D27A1C"/>
    <w:rsid w:val="00D27EF0"/>
    <w:rsid w:val="00D322D6"/>
    <w:rsid w:val="00D356B7"/>
    <w:rsid w:val="00D376A7"/>
    <w:rsid w:val="00D4396A"/>
    <w:rsid w:val="00D61F42"/>
    <w:rsid w:val="00D62110"/>
    <w:rsid w:val="00D63390"/>
    <w:rsid w:val="00D6369F"/>
    <w:rsid w:val="00D65A88"/>
    <w:rsid w:val="00D65D79"/>
    <w:rsid w:val="00D847C6"/>
    <w:rsid w:val="00D8583F"/>
    <w:rsid w:val="00D95878"/>
    <w:rsid w:val="00DB0A5E"/>
    <w:rsid w:val="00DB497C"/>
    <w:rsid w:val="00DB7628"/>
    <w:rsid w:val="00DC256F"/>
    <w:rsid w:val="00DD6D16"/>
    <w:rsid w:val="00DE6F6F"/>
    <w:rsid w:val="00DF55B9"/>
    <w:rsid w:val="00E02103"/>
    <w:rsid w:val="00E103E5"/>
    <w:rsid w:val="00E34FBD"/>
    <w:rsid w:val="00E360EA"/>
    <w:rsid w:val="00E43D82"/>
    <w:rsid w:val="00E50360"/>
    <w:rsid w:val="00E601E4"/>
    <w:rsid w:val="00E67736"/>
    <w:rsid w:val="00E706AE"/>
    <w:rsid w:val="00E73AA7"/>
    <w:rsid w:val="00E77758"/>
    <w:rsid w:val="00E84848"/>
    <w:rsid w:val="00E91847"/>
    <w:rsid w:val="00EA2661"/>
    <w:rsid w:val="00EA2B3A"/>
    <w:rsid w:val="00EA4736"/>
    <w:rsid w:val="00EB1F29"/>
    <w:rsid w:val="00EB4254"/>
    <w:rsid w:val="00EC0BF2"/>
    <w:rsid w:val="00EC132F"/>
    <w:rsid w:val="00EC6E65"/>
    <w:rsid w:val="00ED5C53"/>
    <w:rsid w:val="00EE020F"/>
    <w:rsid w:val="00EE0B7C"/>
    <w:rsid w:val="00EE3380"/>
    <w:rsid w:val="00EE60BC"/>
    <w:rsid w:val="00EE764E"/>
    <w:rsid w:val="00EF63E0"/>
    <w:rsid w:val="00EF642C"/>
    <w:rsid w:val="00F04C73"/>
    <w:rsid w:val="00F077DE"/>
    <w:rsid w:val="00F454CC"/>
    <w:rsid w:val="00F476E9"/>
    <w:rsid w:val="00F61F23"/>
    <w:rsid w:val="00F62865"/>
    <w:rsid w:val="00F67EF6"/>
    <w:rsid w:val="00F73556"/>
    <w:rsid w:val="00F73D24"/>
    <w:rsid w:val="00F74316"/>
    <w:rsid w:val="00F81CC3"/>
    <w:rsid w:val="00F850E2"/>
    <w:rsid w:val="00F85DFA"/>
    <w:rsid w:val="00F901D3"/>
    <w:rsid w:val="00F95079"/>
    <w:rsid w:val="00F95BB9"/>
    <w:rsid w:val="00FA1432"/>
    <w:rsid w:val="00FA3CFC"/>
    <w:rsid w:val="00FA63E7"/>
    <w:rsid w:val="00FB0272"/>
    <w:rsid w:val="00FB264B"/>
    <w:rsid w:val="00FB514A"/>
    <w:rsid w:val="00FB7F03"/>
    <w:rsid w:val="00FC0350"/>
    <w:rsid w:val="00FC1A3C"/>
    <w:rsid w:val="00FC5FE4"/>
    <w:rsid w:val="00FD70E2"/>
    <w:rsid w:val="00FE0721"/>
    <w:rsid w:val="00FE322A"/>
    <w:rsid w:val="00FF2C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ascii="CG Times" w:hAnsi="CG Times" w:cs="CG Times"/>
      <w:sz w:val="24"/>
      <w:szCs w:val="24"/>
      <w:lang w:val="en-US"/>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ahoma"/>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FootnoteText">
    <w:name w:val="footnote text"/>
    <w:basedOn w:val="Normal"/>
    <w:link w:val="FootnoteTextChar"/>
    <w:uiPriority w:val="99"/>
    <w:semiHidden/>
    <w:rsid w:val="00741A11"/>
    <w:pPr>
      <w:spacing w:after="0" w:line="240" w:lineRule="auto"/>
      <w:jc w:val="both"/>
    </w:pPr>
    <w:rPr>
      <w:rFonts w:ascii="Times New Roman" w:hAnsi="Times New Roman" w:cs="Times New Roman"/>
      <w:sz w:val="20"/>
      <w:szCs w:val="20"/>
      <w:lang/>
    </w:rPr>
  </w:style>
  <w:style w:type="character" w:customStyle="1" w:styleId="FootnoteTextChar">
    <w:name w:val="Footnote Text Char"/>
    <w:link w:val="FootnoteText"/>
    <w:uiPriority w:val="99"/>
    <w:semiHidden/>
    <w:rsid w:val="00741A11"/>
    <w:rPr>
      <w:rFonts w:ascii="Times New Roman" w:hAnsi="Times New Roman"/>
      <w:lang w:val="en-GB"/>
    </w:rPr>
  </w:style>
  <w:style w:type="character" w:styleId="FootnoteReference">
    <w:name w:val="footnote reference"/>
    <w:uiPriority w:val="99"/>
    <w:semiHidden/>
    <w:rsid w:val="00741A11"/>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406955267">
      <w:bodyDiv w:val="1"/>
      <w:marLeft w:val="0"/>
      <w:marRight w:val="0"/>
      <w:marTop w:val="0"/>
      <w:marBottom w:val="0"/>
      <w:divBdr>
        <w:top w:val="none" w:sz="0" w:space="0" w:color="auto"/>
        <w:left w:val="none" w:sz="0" w:space="0" w:color="auto"/>
        <w:bottom w:val="none" w:sz="0" w:space="0" w:color="auto"/>
        <w:right w:val="none" w:sz="0" w:space="0" w:color="auto"/>
      </w:divBdr>
      <w:divsChild>
        <w:div w:id="1232160140">
          <w:marLeft w:val="720"/>
          <w:marRight w:val="0"/>
          <w:marTop w:val="0"/>
          <w:marBottom w:val="0"/>
          <w:divBdr>
            <w:top w:val="none" w:sz="0" w:space="0" w:color="auto"/>
            <w:left w:val="none" w:sz="0" w:space="0" w:color="auto"/>
            <w:bottom w:val="none" w:sz="0" w:space="0" w:color="auto"/>
            <w:right w:val="none" w:sz="0" w:space="0" w:color="auto"/>
          </w:divBdr>
        </w:div>
        <w:div w:id="1603566900">
          <w:marLeft w:val="720"/>
          <w:marRight w:val="0"/>
          <w:marTop w:val="0"/>
          <w:marBottom w:val="0"/>
          <w:divBdr>
            <w:top w:val="none" w:sz="0" w:space="0" w:color="auto"/>
            <w:left w:val="none" w:sz="0" w:space="0" w:color="auto"/>
            <w:bottom w:val="none" w:sz="0" w:space="0" w:color="auto"/>
            <w:right w:val="none" w:sz="0" w:space="0" w:color="auto"/>
          </w:divBdr>
        </w:div>
        <w:div w:id="1647321266">
          <w:marLeft w:val="720"/>
          <w:marRight w:val="0"/>
          <w:marTop w:val="0"/>
          <w:marBottom w:val="0"/>
          <w:divBdr>
            <w:top w:val="none" w:sz="0" w:space="0" w:color="auto"/>
            <w:left w:val="none" w:sz="0" w:space="0" w:color="auto"/>
            <w:bottom w:val="none" w:sz="0" w:space="0" w:color="auto"/>
            <w:right w:val="none" w:sz="0" w:space="0" w:color="auto"/>
          </w:divBdr>
        </w:div>
        <w:div w:id="1896889011">
          <w:marLeft w:val="720"/>
          <w:marRight w:val="0"/>
          <w:marTop w:val="0"/>
          <w:marBottom w:val="0"/>
          <w:divBdr>
            <w:top w:val="none" w:sz="0" w:space="0" w:color="auto"/>
            <w:left w:val="none" w:sz="0" w:space="0" w:color="auto"/>
            <w:bottom w:val="none" w:sz="0" w:space="0" w:color="auto"/>
            <w:right w:val="none" w:sz="0" w:space="0" w:color="auto"/>
          </w:divBdr>
        </w:div>
      </w:divsChild>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lpstr>
    </vt:vector>
  </TitlesOfParts>
  <Company>EDUCATION</Company>
  <LinksUpToDate>false</LinksUpToDate>
  <CharactersWithSpaces>10308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2016-03-30T10:59:00Z</cp:lastPrinted>
  <dcterms:created xsi:type="dcterms:W3CDTF">2016-04-28T12:30:00Z</dcterms:created>
  <dcterms:modified xsi:type="dcterms:W3CDTF">2016-04-28T12:30:00Z</dcterms:modified>
</cp:coreProperties>
</file>