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AB56C3">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062125" w:rsidP="00AB56C3">
      <w:pPr>
        <w:spacing w:after="200" w:line="276" w:lineRule="auto"/>
        <w:rPr>
          <w:rFonts w:ascii="Arial" w:eastAsia="Calibri" w:hAnsi="Arial" w:cs="Arial"/>
          <w:b/>
          <w:bCs/>
          <w:lang w:val="en-GB"/>
        </w:rPr>
      </w:pPr>
      <w:r>
        <w:rPr>
          <w:rFonts w:ascii="Arial" w:eastAsia="Calibri" w:hAnsi="Arial" w:cs="Arial"/>
          <w:b/>
          <w:bCs/>
          <w:lang w:val="en-GB"/>
        </w:rPr>
        <w:t xml:space="preserve">QUSTION </w:t>
      </w:r>
      <w:r w:rsidR="002E7253" w:rsidRPr="008C0966">
        <w:rPr>
          <w:rFonts w:ascii="Arial" w:eastAsia="Calibri" w:hAnsi="Arial" w:cs="Arial"/>
          <w:b/>
          <w:bCs/>
          <w:lang w:val="en-GB"/>
        </w:rPr>
        <w:t>FOR WRITTEN REPLY</w:t>
      </w:r>
    </w:p>
    <w:p w:rsidR="002E7253" w:rsidRPr="008C0966" w:rsidRDefault="00062125" w:rsidP="00AB56C3">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1B700B">
        <w:rPr>
          <w:rFonts w:ascii="Arial" w:eastAsia="Calibri" w:hAnsi="Arial" w:cs="Arial"/>
          <w:b/>
          <w:bCs/>
          <w:lang w:val="en-GB"/>
        </w:rPr>
        <w:t>718</w:t>
      </w:r>
    </w:p>
    <w:p w:rsidR="002E7253" w:rsidRPr="00062125" w:rsidRDefault="002E7253" w:rsidP="00AB56C3">
      <w:pPr>
        <w:spacing w:after="200" w:line="276" w:lineRule="auto"/>
        <w:rPr>
          <w:rFonts w:ascii="Arial" w:eastAsia="Calibri" w:hAnsi="Arial" w:cs="Arial"/>
          <w:b/>
          <w:bCs/>
          <w:lang w:val="en-GB"/>
        </w:rPr>
      </w:pPr>
      <w:r w:rsidRPr="00062125">
        <w:rPr>
          <w:rFonts w:ascii="Arial" w:eastAsia="Calibri" w:hAnsi="Arial" w:cs="Arial"/>
          <w:b/>
          <w:bCs/>
          <w:lang w:val="en-GB"/>
        </w:rPr>
        <w:t xml:space="preserve">DATE OF QUESTION: </w:t>
      </w:r>
      <w:r w:rsidR="00756DD1" w:rsidRPr="00062125">
        <w:rPr>
          <w:rFonts w:ascii="Arial" w:eastAsia="Calibri" w:hAnsi="Arial" w:cs="Arial"/>
          <w:b/>
          <w:bCs/>
          <w:lang w:val="en-GB"/>
        </w:rPr>
        <w:t>0</w:t>
      </w:r>
      <w:r w:rsidR="001B700B" w:rsidRPr="00062125">
        <w:rPr>
          <w:rFonts w:ascii="Arial" w:eastAsia="Calibri" w:hAnsi="Arial" w:cs="Arial"/>
          <w:b/>
          <w:bCs/>
          <w:lang w:val="en-GB"/>
        </w:rPr>
        <w:t>9</w:t>
      </w:r>
      <w:r w:rsidR="00062125">
        <w:rPr>
          <w:rFonts w:ascii="Arial" w:eastAsia="Calibri" w:hAnsi="Arial" w:cs="Arial"/>
          <w:b/>
          <w:bCs/>
          <w:lang w:val="en-GB"/>
        </w:rPr>
        <w:t xml:space="preserve"> MARCH </w:t>
      </w:r>
      <w:r w:rsidRPr="00062125">
        <w:rPr>
          <w:rFonts w:ascii="Arial" w:eastAsia="Calibri" w:hAnsi="Arial" w:cs="Arial"/>
          <w:b/>
          <w:bCs/>
          <w:lang w:val="en-GB"/>
        </w:rPr>
        <w:t>201</w:t>
      </w:r>
      <w:r w:rsidR="00B5021D" w:rsidRPr="00062125">
        <w:rPr>
          <w:rFonts w:ascii="Arial" w:eastAsia="Calibri" w:hAnsi="Arial" w:cs="Arial"/>
          <w:b/>
          <w:bCs/>
          <w:lang w:val="en-GB"/>
        </w:rPr>
        <w:t>8</w:t>
      </w:r>
    </w:p>
    <w:p w:rsidR="00D463C8" w:rsidRPr="00062125" w:rsidRDefault="00791471" w:rsidP="00AB56C3">
      <w:pPr>
        <w:spacing w:before="100" w:beforeAutospacing="1" w:after="100" w:afterAutospacing="1" w:line="276" w:lineRule="auto"/>
        <w:outlineLvl w:val="0"/>
        <w:rPr>
          <w:rFonts w:ascii="Arial" w:eastAsia="Calibri" w:hAnsi="Arial" w:cs="Arial"/>
          <w:b/>
          <w:bCs/>
          <w:lang w:val="en-GB"/>
        </w:rPr>
      </w:pPr>
      <w:r w:rsidRPr="00062125">
        <w:rPr>
          <w:rFonts w:ascii="Arial" w:eastAsia="Calibri" w:hAnsi="Arial" w:cs="Arial"/>
          <w:b/>
          <w:bCs/>
          <w:lang w:val="en-GB"/>
        </w:rPr>
        <w:t xml:space="preserve">DATE OF SUBMISSION: </w:t>
      </w:r>
      <w:r w:rsidR="001B700B" w:rsidRPr="00062125">
        <w:rPr>
          <w:rFonts w:ascii="Arial" w:eastAsia="Calibri" w:hAnsi="Arial" w:cs="Arial"/>
          <w:b/>
          <w:bCs/>
          <w:lang w:val="en-GB"/>
        </w:rPr>
        <w:t>2</w:t>
      </w:r>
      <w:r w:rsidR="00756DD1" w:rsidRPr="00062125">
        <w:rPr>
          <w:rFonts w:ascii="Arial" w:eastAsia="Calibri" w:hAnsi="Arial" w:cs="Arial"/>
          <w:b/>
          <w:bCs/>
          <w:lang w:val="en-GB"/>
        </w:rPr>
        <w:t>6</w:t>
      </w:r>
      <w:r w:rsidRPr="00062125">
        <w:rPr>
          <w:rFonts w:ascii="Arial" w:eastAsia="Calibri" w:hAnsi="Arial" w:cs="Arial"/>
          <w:b/>
          <w:bCs/>
          <w:lang w:val="en-GB"/>
        </w:rPr>
        <w:t xml:space="preserve"> </w:t>
      </w:r>
      <w:r w:rsidR="008C0966" w:rsidRPr="00062125">
        <w:rPr>
          <w:rFonts w:ascii="Arial" w:eastAsia="Calibri" w:hAnsi="Arial" w:cs="Arial"/>
          <w:b/>
          <w:bCs/>
          <w:lang w:val="en-GB"/>
        </w:rPr>
        <w:t>MARCH</w:t>
      </w:r>
      <w:r w:rsidR="009F2D5C" w:rsidRPr="00062125">
        <w:rPr>
          <w:rFonts w:ascii="Arial" w:eastAsia="Calibri" w:hAnsi="Arial" w:cs="Arial"/>
          <w:b/>
          <w:bCs/>
          <w:lang w:val="en-GB"/>
        </w:rPr>
        <w:t xml:space="preserve"> </w:t>
      </w:r>
      <w:r w:rsidR="00D463C8" w:rsidRPr="00062125">
        <w:rPr>
          <w:rFonts w:ascii="Arial" w:eastAsia="Calibri" w:hAnsi="Arial" w:cs="Arial"/>
          <w:b/>
          <w:bCs/>
          <w:lang w:val="en-GB"/>
        </w:rPr>
        <w:t>201</w:t>
      </w:r>
      <w:r w:rsidR="00B5021D" w:rsidRPr="00062125">
        <w:rPr>
          <w:rFonts w:ascii="Arial" w:eastAsia="Calibri" w:hAnsi="Arial" w:cs="Arial"/>
          <w:b/>
          <w:bCs/>
          <w:lang w:val="en-GB"/>
        </w:rPr>
        <w:t>8</w:t>
      </w:r>
    </w:p>
    <w:p w:rsidR="001B700B" w:rsidRPr="001B700B" w:rsidRDefault="00062125" w:rsidP="001B700B">
      <w:pPr>
        <w:spacing w:before="100" w:beforeAutospacing="1" w:after="100" w:afterAutospacing="1" w:line="360" w:lineRule="auto"/>
        <w:rPr>
          <w:rFonts w:ascii="Arial" w:hAnsi="Arial" w:cs="Arial"/>
          <w:b/>
          <w:lang w:val="af-ZA"/>
        </w:rPr>
      </w:pPr>
      <w:r>
        <w:rPr>
          <w:rFonts w:ascii="Arial" w:hAnsi="Arial" w:cs="Arial"/>
          <w:b/>
          <w:lang w:val="af-ZA"/>
        </w:rPr>
        <w:t xml:space="preserve">718. </w:t>
      </w:r>
      <w:r w:rsidR="001B700B" w:rsidRPr="001B700B">
        <w:rPr>
          <w:rFonts w:ascii="Arial" w:hAnsi="Arial" w:cs="Arial"/>
          <w:b/>
          <w:lang w:val="af-ZA"/>
        </w:rPr>
        <w:t>Mr S Mokgalapa (DA) to ask the Minister of Justice and Correctional Services:</w:t>
      </w:r>
    </w:p>
    <w:p w:rsidR="001B700B" w:rsidRPr="001B700B" w:rsidRDefault="001B700B" w:rsidP="00EB2676">
      <w:pPr>
        <w:numPr>
          <w:ilvl w:val="0"/>
          <w:numId w:val="2"/>
        </w:numPr>
        <w:spacing w:before="100" w:beforeAutospacing="1" w:after="100" w:afterAutospacing="1" w:line="360" w:lineRule="auto"/>
        <w:jc w:val="both"/>
        <w:rPr>
          <w:rFonts w:ascii="Arial" w:hAnsi="Arial" w:cs="Arial"/>
          <w:lang w:val="af-ZA"/>
        </w:rPr>
      </w:pPr>
      <w:r w:rsidRPr="001B700B">
        <w:rPr>
          <w:rFonts w:ascii="Arial" w:hAnsi="Arial" w:cs="Arial"/>
          <w:lang w:val="af-ZA"/>
        </w:rPr>
        <w:t xml:space="preserve">Whether his department has a sexual harassment and assault policy in place; if not, (a) why not and (b) by what date will his department have such a policy in place; if so, (i) how are reports investigated and (ii) what are the details of the consequence management and sanctions stipulated by the policy; </w:t>
      </w:r>
    </w:p>
    <w:p w:rsidR="001B700B" w:rsidRDefault="001B700B" w:rsidP="00EB2676">
      <w:pPr>
        <w:numPr>
          <w:ilvl w:val="0"/>
          <w:numId w:val="2"/>
        </w:numPr>
        <w:spacing w:before="100" w:beforeAutospacing="1" w:after="100" w:afterAutospacing="1" w:line="360" w:lineRule="auto"/>
        <w:jc w:val="both"/>
        <w:rPr>
          <w:rFonts w:ascii="Arial" w:hAnsi="Arial" w:cs="Arial"/>
          <w:lang w:val="af-ZA"/>
        </w:rPr>
      </w:pPr>
      <w:r w:rsidRPr="001B700B">
        <w:rPr>
          <w:rFonts w:ascii="Arial" w:hAnsi="Arial" w:cs="Arial"/>
          <w:lang w:val="af-ZA"/>
        </w:rPr>
        <w:t>(a) what is the total number of incidents of sexual harassment and assault that have been reported in his department (i) in each of the past three financial years and (ii) since 1 April 2017</w:t>
      </w:r>
      <w:r w:rsidR="00D03D1C">
        <w:rPr>
          <w:rFonts w:ascii="Arial" w:hAnsi="Arial" w:cs="Arial"/>
          <w:lang w:val="af-ZA"/>
        </w:rPr>
        <w:t>, (b) what number of cases were</w:t>
      </w:r>
      <w:r w:rsidRPr="001B700B">
        <w:rPr>
          <w:rFonts w:ascii="Arial" w:hAnsi="Arial" w:cs="Arial"/>
          <w:lang w:val="af-ZA"/>
        </w:rPr>
        <w:t>(i) opened and concluded, (ii) withdrawn and (iii) remain open based on the incidents and (c) what sanctions were issued for each person who was fou</w:t>
      </w:r>
      <w:r>
        <w:rPr>
          <w:rFonts w:ascii="Arial" w:hAnsi="Arial" w:cs="Arial"/>
          <w:lang w:val="af-ZA"/>
        </w:rPr>
        <w:t>nd to have been guilty?</w:t>
      </w:r>
    </w:p>
    <w:p w:rsidR="001B700B" w:rsidRPr="001B700B" w:rsidRDefault="001B700B" w:rsidP="001B700B">
      <w:pPr>
        <w:spacing w:before="100" w:beforeAutospacing="1" w:after="100" w:afterAutospacing="1" w:line="360" w:lineRule="auto"/>
        <w:ind w:left="360"/>
        <w:jc w:val="right"/>
        <w:rPr>
          <w:rFonts w:ascii="Arial" w:hAnsi="Arial" w:cs="Arial"/>
          <w:b/>
          <w:lang w:val="en-ZA"/>
        </w:rPr>
      </w:pPr>
      <w:r w:rsidRPr="001B700B">
        <w:rPr>
          <w:rFonts w:ascii="Arial" w:hAnsi="Arial" w:cs="Arial"/>
          <w:b/>
          <w:lang w:val="en-ZA"/>
        </w:rPr>
        <w:t>NW792E</w:t>
      </w:r>
    </w:p>
    <w:p w:rsidR="001B700B" w:rsidRDefault="001B700B" w:rsidP="002F0095">
      <w:pPr>
        <w:spacing w:before="120" w:after="120" w:line="360" w:lineRule="auto"/>
        <w:jc w:val="both"/>
        <w:rPr>
          <w:rFonts w:ascii="Arial" w:hAnsi="Arial" w:cs="Arial"/>
          <w:b/>
        </w:rPr>
        <w:sectPr w:rsidR="001B700B" w:rsidSect="00A64328">
          <w:footerReference w:type="default" r:id="rId7"/>
          <w:pgSz w:w="12240" w:h="15840"/>
          <w:pgMar w:top="1440" w:right="1440" w:bottom="1440" w:left="1440" w:header="720" w:footer="720" w:gutter="0"/>
          <w:cols w:space="720"/>
          <w:docGrid w:linePitch="360"/>
        </w:sectPr>
      </w:pPr>
    </w:p>
    <w:p w:rsidR="00B86914" w:rsidRDefault="00B86914" w:rsidP="00B86914">
      <w:pPr>
        <w:spacing w:line="360" w:lineRule="auto"/>
        <w:jc w:val="both"/>
        <w:rPr>
          <w:rFonts w:ascii="Arial" w:hAnsi="Arial" w:cs="Arial"/>
          <w:b/>
        </w:rPr>
      </w:pPr>
      <w:r w:rsidRPr="00FA59FA">
        <w:rPr>
          <w:rFonts w:ascii="Arial" w:hAnsi="Arial" w:cs="Arial"/>
          <w:b/>
        </w:rPr>
        <w:lastRenderedPageBreak/>
        <w:t>DRAFT REPLY:</w:t>
      </w:r>
    </w:p>
    <w:p w:rsidR="00780722" w:rsidRPr="00D1070F" w:rsidRDefault="00780722" w:rsidP="00B86914">
      <w:pPr>
        <w:spacing w:line="360" w:lineRule="auto"/>
        <w:jc w:val="both"/>
        <w:rPr>
          <w:rFonts w:ascii="Arial" w:hAnsi="Arial" w:cs="Arial"/>
          <w:b/>
          <w:sz w:val="22"/>
          <w:szCs w:val="22"/>
        </w:rPr>
      </w:pPr>
    </w:p>
    <w:p w:rsidR="00D1070F" w:rsidRPr="008165F9" w:rsidRDefault="00D1070F" w:rsidP="00EB2676">
      <w:pPr>
        <w:numPr>
          <w:ilvl w:val="0"/>
          <w:numId w:val="5"/>
        </w:numPr>
        <w:spacing w:line="360" w:lineRule="auto"/>
        <w:ind w:left="360"/>
        <w:jc w:val="both"/>
        <w:rPr>
          <w:rFonts w:ascii="Arial" w:hAnsi="Arial" w:cs="Arial"/>
          <w:b/>
        </w:rPr>
      </w:pPr>
      <w:r w:rsidRPr="008165F9">
        <w:rPr>
          <w:rFonts w:ascii="Arial" w:hAnsi="Arial" w:cs="Arial"/>
        </w:rPr>
        <w:t>The Department of Justice and Constitutional Development has a policy and procedure on sexual harassment in place, which came into effect in 2008 and was reviewed in 2015 to ensure compliance with the Policy and Procedure on the Management of Sexual Harassment of the Department of Public Service and Administration (DPSA).</w:t>
      </w:r>
    </w:p>
    <w:p w:rsidR="00D1070F" w:rsidRPr="008165F9" w:rsidRDefault="00D1070F" w:rsidP="00D1070F">
      <w:pPr>
        <w:spacing w:line="360" w:lineRule="auto"/>
        <w:ind w:left="720"/>
        <w:jc w:val="both"/>
        <w:rPr>
          <w:rFonts w:ascii="Arial" w:hAnsi="Arial" w:cs="Arial"/>
        </w:rPr>
      </w:pPr>
    </w:p>
    <w:p w:rsidR="00D1070F" w:rsidRPr="008165F9" w:rsidRDefault="00D1070F" w:rsidP="00EB2676">
      <w:pPr>
        <w:numPr>
          <w:ilvl w:val="0"/>
          <w:numId w:val="4"/>
        </w:numPr>
        <w:tabs>
          <w:tab w:val="left" w:pos="709"/>
        </w:tabs>
        <w:spacing w:line="360" w:lineRule="auto"/>
        <w:ind w:left="709" w:hanging="283"/>
        <w:jc w:val="both"/>
        <w:rPr>
          <w:rFonts w:ascii="Arial" w:hAnsi="Arial" w:cs="Arial"/>
        </w:rPr>
      </w:pPr>
      <w:r w:rsidRPr="008165F9">
        <w:rPr>
          <w:rFonts w:ascii="Arial" w:hAnsi="Arial" w:cs="Arial"/>
        </w:rPr>
        <w:t>Reports/cases are investigated by a Committee which is established in terms of the departmental policy and procedure, and which is constituted by officials from</w:t>
      </w:r>
      <w:r w:rsidRPr="008165F9">
        <w:rPr>
          <w:rFonts w:ascii="Arial" w:hAnsi="Arial" w:cs="Arial"/>
          <w:color w:val="FF0000"/>
        </w:rPr>
        <w:t xml:space="preserve"> </w:t>
      </w:r>
      <w:r w:rsidRPr="008165F9">
        <w:rPr>
          <w:rFonts w:ascii="Arial" w:hAnsi="Arial" w:cs="Arial"/>
        </w:rPr>
        <w:t>the following components within the Department:</w:t>
      </w:r>
    </w:p>
    <w:p w:rsidR="0031150C" w:rsidRPr="008165F9" w:rsidRDefault="0031150C" w:rsidP="00EB2676">
      <w:pPr>
        <w:numPr>
          <w:ilvl w:val="0"/>
          <w:numId w:val="9"/>
        </w:numPr>
        <w:spacing w:line="360" w:lineRule="auto"/>
        <w:jc w:val="both"/>
        <w:rPr>
          <w:rFonts w:ascii="Arial" w:hAnsi="Arial" w:cs="Arial"/>
        </w:rPr>
      </w:pPr>
      <w:r w:rsidRPr="008165F9">
        <w:rPr>
          <w:rFonts w:ascii="Arial" w:hAnsi="Arial" w:cs="Arial"/>
        </w:rPr>
        <w:t>Employee Relations</w:t>
      </w:r>
      <w:r w:rsidR="008165F9">
        <w:rPr>
          <w:rFonts w:ascii="Arial" w:hAnsi="Arial" w:cs="Arial"/>
        </w:rPr>
        <w:t>;</w:t>
      </w:r>
    </w:p>
    <w:p w:rsidR="0031150C" w:rsidRPr="008165F9" w:rsidRDefault="0031150C" w:rsidP="00EB2676">
      <w:pPr>
        <w:numPr>
          <w:ilvl w:val="0"/>
          <w:numId w:val="9"/>
        </w:numPr>
        <w:spacing w:line="360" w:lineRule="auto"/>
        <w:jc w:val="both"/>
        <w:rPr>
          <w:rFonts w:ascii="Arial" w:hAnsi="Arial" w:cs="Arial"/>
        </w:rPr>
      </w:pPr>
      <w:r w:rsidRPr="008165F9">
        <w:rPr>
          <w:rFonts w:ascii="Arial" w:hAnsi="Arial" w:cs="Arial"/>
        </w:rPr>
        <w:t>Employment Equity</w:t>
      </w:r>
      <w:r w:rsidR="008165F9">
        <w:rPr>
          <w:rFonts w:ascii="Arial" w:hAnsi="Arial" w:cs="Arial"/>
        </w:rPr>
        <w:t>; and</w:t>
      </w:r>
      <w:r w:rsidRPr="008165F9">
        <w:rPr>
          <w:rFonts w:ascii="Arial" w:hAnsi="Arial" w:cs="Arial"/>
        </w:rPr>
        <w:t xml:space="preserve"> </w:t>
      </w:r>
    </w:p>
    <w:p w:rsidR="0031150C" w:rsidRPr="008165F9" w:rsidRDefault="0031150C" w:rsidP="00EB2676">
      <w:pPr>
        <w:numPr>
          <w:ilvl w:val="0"/>
          <w:numId w:val="9"/>
        </w:numPr>
        <w:spacing w:line="360" w:lineRule="auto"/>
        <w:jc w:val="both"/>
        <w:rPr>
          <w:rFonts w:ascii="Arial" w:hAnsi="Arial" w:cs="Arial"/>
        </w:rPr>
      </w:pPr>
      <w:r w:rsidRPr="008165F9">
        <w:rPr>
          <w:rFonts w:ascii="Arial" w:hAnsi="Arial" w:cs="Arial"/>
        </w:rPr>
        <w:t>Ch</w:t>
      </w:r>
      <w:r w:rsidR="00D1070F" w:rsidRPr="008165F9">
        <w:rPr>
          <w:rFonts w:ascii="Arial" w:hAnsi="Arial" w:cs="Arial"/>
        </w:rPr>
        <w:t>ange Management and Gender Unit</w:t>
      </w:r>
      <w:r w:rsidR="008165F9">
        <w:rPr>
          <w:rFonts w:ascii="Arial" w:hAnsi="Arial" w:cs="Arial"/>
        </w:rPr>
        <w:t>.</w:t>
      </w:r>
    </w:p>
    <w:p w:rsidR="00780722" w:rsidRPr="008165F9" w:rsidRDefault="00780722" w:rsidP="00780722">
      <w:pPr>
        <w:spacing w:line="360" w:lineRule="auto"/>
        <w:jc w:val="both"/>
        <w:rPr>
          <w:rFonts w:ascii="Arial" w:hAnsi="Arial" w:cs="Arial"/>
        </w:rPr>
      </w:pPr>
    </w:p>
    <w:p w:rsidR="00780722" w:rsidRPr="008165F9" w:rsidRDefault="00780722" w:rsidP="00EB2676">
      <w:pPr>
        <w:numPr>
          <w:ilvl w:val="0"/>
          <w:numId w:val="4"/>
        </w:numPr>
        <w:tabs>
          <w:tab w:val="left" w:pos="709"/>
        </w:tabs>
        <w:spacing w:line="360" w:lineRule="auto"/>
        <w:ind w:left="709" w:hanging="283"/>
        <w:jc w:val="both"/>
        <w:rPr>
          <w:rFonts w:ascii="Arial" w:hAnsi="Arial" w:cs="Arial"/>
        </w:rPr>
      </w:pPr>
      <w:r w:rsidRPr="008165F9">
        <w:rPr>
          <w:rFonts w:ascii="Arial" w:hAnsi="Arial" w:cs="Arial"/>
        </w:rPr>
        <w:t xml:space="preserve">Details of the consequence management and sanctions </w:t>
      </w:r>
      <w:r w:rsidR="00213488">
        <w:rPr>
          <w:rFonts w:ascii="Arial" w:hAnsi="Arial" w:cs="Arial"/>
        </w:rPr>
        <w:t>stipulated by the policy are</w:t>
      </w:r>
      <w:r w:rsidRPr="008165F9">
        <w:rPr>
          <w:rFonts w:ascii="Arial" w:hAnsi="Arial" w:cs="Arial"/>
        </w:rPr>
        <w:t>:</w:t>
      </w:r>
    </w:p>
    <w:p w:rsidR="00780722" w:rsidRPr="008165F9" w:rsidRDefault="00CD0F1E" w:rsidP="00EB2676">
      <w:pPr>
        <w:numPr>
          <w:ilvl w:val="0"/>
          <w:numId w:val="10"/>
        </w:numPr>
        <w:spacing w:line="360" w:lineRule="auto"/>
        <w:jc w:val="both"/>
        <w:rPr>
          <w:rFonts w:ascii="Arial" w:hAnsi="Arial" w:cs="Arial"/>
        </w:rPr>
      </w:pPr>
      <w:r w:rsidRPr="008165F9">
        <w:rPr>
          <w:rFonts w:ascii="Arial" w:hAnsi="Arial" w:cs="Arial"/>
        </w:rPr>
        <w:t>Counseling</w:t>
      </w:r>
      <w:r w:rsidR="008165F9">
        <w:rPr>
          <w:rFonts w:ascii="Arial" w:hAnsi="Arial" w:cs="Arial"/>
        </w:rPr>
        <w:t>;</w:t>
      </w:r>
    </w:p>
    <w:p w:rsidR="00780722" w:rsidRPr="008165F9" w:rsidRDefault="00780722" w:rsidP="00EB2676">
      <w:pPr>
        <w:numPr>
          <w:ilvl w:val="0"/>
          <w:numId w:val="10"/>
        </w:numPr>
        <w:spacing w:line="360" w:lineRule="auto"/>
        <w:jc w:val="both"/>
        <w:rPr>
          <w:rFonts w:ascii="Arial" w:hAnsi="Arial" w:cs="Arial"/>
        </w:rPr>
      </w:pPr>
      <w:r w:rsidRPr="008165F9">
        <w:rPr>
          <w:rFonts w:ascii="Arial" w:hAnsi="Arial" w:cs="Arial"/>
        </w:rPr>
        <w:t>Verbal warning</w:t>
      </w:r>
      <w:r w:rsidR="008165F9">
        <w:rPr>
          <w:rFonts w:ascii="Arial" w:hAnsi="Arial" w:cs="Arial"/>
        </w:rPr>
        <w:t>;</w:t>
      </w:r>
    </w:p>
    <w:p w:rsidR="00780722" w:rsidRPr="008165F9" w:rsidRDefault="00780722" w:rsidP="00EB2676">
      <w:pPr>
        <w:numPr>
          <w:ilvl w:val="0"/>
          <w:numId w:val="10"/>
        </w:numPr>
        <w:spacing w:line="360" w:lineRule="auto"/>
        <w:jc w:val="both"/>
        <w:rPr>
          <w:rFonts w:ascii="Arial" w:hAnsi="Arial" w:cs="Arial"/>
        </w:rPr>
      </w:pPr>
      <w:r w:rsidRPr="008165F9">
        <w:rPr>
          <w:rFonts w:ascii="Arial" w:hAnsi="Arial" w:cs="Arial"/>
        </w:rPr>
        <w:t>Written warning</w:t>
      </w:r>
      <w:r w:rsidR="008165F9">
        <w:rPr>
          <w:rFonts w:ascii="Arial" w:hAnsi="Arial" w:cs="Arial"/>
        </w:rPr>
        <w:t>;</w:t>
      </w:r>
    </w:p>
    <w:p w:rsidR="00780722" w:rsidRPr="008165F9" w:rsidRDefault="00780722" w:rsidP="00EB2676">
      <w:pPr>
        <w:numPr>
          <w:ilvl w:val="0"/>
          <w:numId w:val="10"/>
        </w:numPr>
        <w:spacing w:line="360" w:lineRule="auto"/>
        <w:jc w:val="both"/>
        <w:rPr>
          <w:rFonts w:ascii="Arial" w:hAnsi="Arial" w:cs="Arial"/>
        </w:rPr>
      </w:pPr>
      <w:r w:rsidRPr="008165F9">
        <w:rPr>
          <w:rFonts w:ascii="Arial" w:hAnsi="Arial" w:cs="Arial"/>
        </w:rPr>
        <w:t>Final written warning</w:t>
      </w:r>
      <w:r w:rsidR="008165F9">
        <w:rPr>
          <w:rFonts w:ascii="Arial" w:hAnsi="Arial" w:cs="Arial"/>
        </w:rPr>
        <w:t>;</w:t>
      </w:r>
    </w:p>
    <w:p w:rsidR="00780722" w:rsidRPr="008165F9" w:rsidRDefault="00780722" w:rsidP="00EB2676">
      <w:pPr>
        <w:numPr>
          <w:ilvl w:val="0"/>
          <w:numId w:val="10"/>
        </w:numPr>
        <w:spacing w:line="360" w:lineRule="auto"/>
        <w:jc w:val="both"/>
        <w:rPr>
          <w:rFonts w:ascii="Arial" w:hAnsi="Arial" w:cs="Arial"/>
        </w:rPr>
      </w:pPr>
      <w:r w:rsidRPr="008165F9">
        <w:rPr>
          <w:rFonts w:ascii="Arial" w:hAnsi="Arial" w:cs="Arial"/>
        </w:rPr>
        <w:t>Suspension without pay</w:t>
      </w:r>
      <w:r w:rsidR="008165F9">
        <w:rPr>
          <w:rFonts w:ascii="Arial" w:hAnsi="Arial" w:cs="Arial"/>
        </w:rPr>
        <w:t>;</w:t>
      </w:r>
    </w:p>
    <w:p w:rsidR="00780722" w:rsidRPr="008165F9" w:rsidRDefault="00780722" w:rsidP="00EB2676">
      <w:pPr>
        <w:numPr>
          <w:ilvl w:val="0"/>
          <w:numId w:val="10"/>
        </w:numPr>
        <w:spacing w:line="360" w:lineRule="auto"/>
        <w:jc w:val="both"/>
        <w:rPr>
          <w:rFonts w:ascii="Arial" w:hAnsi="Arial" w:cs="Arial"/>
        </w:rPr>
      </w:pPr>
      <w:r w:rsidRPr="008165F9">
        <w:rPr>
          <w:rFonts w:ascii="Arial" w:hAnsi="Arial" w:cs="Arial"/>
        </w:rPr>
        <w:t>Demotion (as an alternative to dismissal)</w:t>
      </w:r>
      <w:r w:rsidR="008165F9">
        <w:rPr>
          <w:rFonts w:ascii="Arial" w:hAnsi="Arial" w:cs="Arial"/>
        </w:rPr>
        <w:t>;</w:t>
      </w:r>
    </w:p>
    <w:p w:rsidR="00780722" w:rsidRPr="008165F9" w:rsidRDefault="00780722" w:rsidP="00EB2676">
      <w:pPr>
        <w:numPr>
          <w:ilvl w:val="0"/>
          <w:numId w:val="10"/>
        </w:numPr>
        <w:spacing w:line="360" w:lineRule="auto"/>
        <w:jc w:val="both"/>
        <w:rPr>
          <w:rFonts w:ascii="Arial" w:hAnsi="Arial" w:cs="Arial"/>
        </w:rPr>
      </w:pPr>
      <w:r w:rsidRPr="008165F9">
        <w:rPr>
          <w:rFonts w:ascii="Arial" w:hAnsi="Arial" w:cs="Arial"/>
        </w:rPr>
        <w:t>Dismissal</w:t>
      </w:r>
      <w:r w:rsidR="008165F9">
        <w:rPr>
          <w:rFonts w:ascii="Arial" w:hAnsi="Arial" w:cs="Arial"/>
        </w:rPr>
        <w:t>; and</w:t>
      </w:r>
    </w:p>
    <w:p w:rsidR="00780722" w:rsidRPr="008165F9" w:rsidRDefault="008165F9" w:rsidP="00EB2676">
      <w:pPr>
        <w:numPr>
          <w:ilvl w:val="0"/>
          <w:numId w:val="10"/>
        </w:numPr>
        <w:spacing w:line="360" w:lineRule="auto"/>
        <w:jc w:val="both"/>
        <w:rPr>
          <w:rFonts w:ascii="Arial" w:hAnsi="Arial" w:cs="Arial"/>
        </w:rPr>
      </w:pPr>
      <w:r>
        <w:rPr>
          <w:rFonts w:ascii="Arial" w:hAnsi="Arial" w:cs="Arial"/>
        </w:rPr>
        <w:t>Change Management.</w:t>
      </w:r>
    </w:p>
    <w:p w:rsidR="00780722" w:rsidRPr="008165F9" w:rsidRDefault="00780722" w:rsidP="00780722">
      <w:pPr>
        <w:spacing w:line="360" w:lineRule="auto"/>
        <w:jc w:val="both"/>
        <w:rPr>
          <w:rFonts w:ascii="Arial" w:hAnsi="Arial" w:cs="Arial"/>
        </w:rPr>
      </w:pPr>
    </w:p>
    <w:p w:rsidR="00D03D1C" w:rsidRPr="008165F9" w:rsidRDefault="004E212A" w:rsidP="00EB2676">
      <w:pPr>
        <w:numPr>
          <w:ilvl w:val="0"/>
          <w:numId w:val="5"/>
        </w:numPr>
        <w:spacing w:line="360" w:lineRule="auto"/>
        <w:jc w:val="both"/>
        <w:rPr>
          <w:rFonts w:ascii="Arial" w:hAnsi="Arial" w:cs="Arial"/>
        </w:rPr>
      </w:pPr>
      <w:r w:rsidRPr="008165F9">
        <w:rPr>
          <w:rFonts w:ascii="Arial" w:hAnsi="Arial" w:cs="Arial"/>
        </w:rPr>
        <w:t xml:space="preserve">(a) </w:t>
      </w:r>
      <w:r w:rsidR="00780722" w:rsidRPr="008165F9">
        <w:rPr>
          <w:rFonts w:ascii="Arial" w:hAnsi="Arial" w:cs="Arial"/>
        </w:rPr>
        <w:t>Total number of incidents of sexual harassment that have been reported in the Department</w:t>
      </w:r>
      <w:r w:rsidR="00D03D1C" w:rsidRPr="008165F9">
        <w:rPr>
          <w:rFonts w:ascii="Arial" w:hAnsi="Arial" w:cs="Arial"/>
        </w:rPr>
        <w:t xml:space="preserve"> </w:t>
      </w:r>
      <w:r w:rsidRPr="008165F9">
        <w:rPr>
          <w:rFonts w:ascii="Arial" w:hAnsi="Arial" w:cs="Arial"/>
        </w:rPr>
        <w:t>of Justice and Constitutional Development</w:t>
      </w:r>
      <w:r w:rsidR="008165F9">
        <w:rPr>
          <w:rFonts w:ascii="Arial" w:hAnsi="Arial" w:cs="Arial"/>
        </w:rPr>
        <w:t xml:space="preserve"> are as follows</w:t>
      </w:r>
      <w:r w:rsidR="00D03D1C" w:rsidRPr="008165F9">
        <w:rPr>
          <w:rFonts w:ascii="Arial" w:hAnsi="Arial" w:cs="Arial"/>
        </w:rPr>
        <w:t>:</w:t>
      </w:r>
    </w:p>
    <w:p w:rsidR="00D03D1C" w:rsidRPr="008165F9" w:rsidRDefault="004E212A" w:rsidP="00EB2676">
      <w:pPr>
        <w:numPr>
          <w:ilvl w:val="0"/>
          <w:numId w:val="6"/>
        </w:numPr>
        <w:spacing w:line="360" w:lineRule="auto"/>
        <w:ind w:hanging="371"/>
        <w:jc w:val="both"/>
        <w:rPr>
          <w:rFonts w:ascii="Arial" w:hAnsi="Arial" w:cs="Arial"/>
        </w:rPr>
      </w:pPr>
      <w:r w:rsidRPr="008165F9">
        <w:rPr>
          <w:rFonts w:ascii="Arial" w:hAnsi="Arial" w:cs="Arial"/>
        </w:rPr>
        <w:t xml:space="preserve">In each of the past three </w:t>
      </w:r>
      <w:r w:rsidR="00D8545F" w:rsidRPr="008165F9">
        <w:rPr>
          <w:rFonts w:ascii="Arial" w:hAnsi="Arial" w:cs="Arial"/>
        </w:rPr>
        <w:t>financial years:</w:t>
      </w:r>
    </w:p>
    <w:p w:rsidR="00072D0A" w:rsidRPr="008165F9" w:rsidRDefault="008165F9" w:rsidP="00EB2676">
      <w:pPr>
        <w:numPr>
          <w:ilvl w:val="0"/>
          <w:numId w:val="3"/>
        </w:numPr>
        <w:tabs>
          <w:tab w:val="left" w:pos="1134"/>
          <w:tab w:val="left" w:pos="2410"/>
        </w:tabs>
        <w:spacing w:line="360" w:lineRule="auto"/>
        <w:ind w:left="1134" w:hanging="283"/>
        <w:jc w:val="both"/>
        <w:rPr>
          <w:rFonts w:ascii="Arial" w:hAnsi="Arial" w:cs="Arial"/>
        </w:rPr>
      </w:pPr>
      <w:r>
        <w:rPr>
          <w:rFonts w:ascii="Arial" w:hAnsi="Arial" w:cs="Arial"/>
        </w:rPr>
        <w:t>2014/</w:t>
      </w:r>
      <w:r w:rsidR="004453AC" w:rsidRPr="008165F9">
        <w:rPr>
          <w:rFonts w:ascii="Arial" w:hAnsi="Arial" w:cs="Arial"/>
        </w:rPr>
        <w:t>15</w:t>
      </w:r>
      <w:r w:rsidR="004453AC" w:rsidRPr="008165F9">
        <w:rPr>
          <w:rFonts w:ascii="Arial" w:hAnsi="Arial" w:cs="Arial"/>
        </w:rPr>
        <w:tab/>
        <w:t>:</w:t>
      </w:r>
      <w:r w:rsidR="004453AC" w:rsidRPr="008165F9">
        <w:rPr>
          <w:rFonts w:ascii="Arial" w:hAnsi="Arial" w:cs="Arial"/>
        </w:rPr>
        <w:tab/>
      </w:r>
      <w:r w:rsidR="001D2C73" w:rsidRPr="008165F9">
        <w:rPr>
          <w:rFonts w:ascii="Arial" w:hAnsi="Arial" w:cs="Arial"/>
        </w:rPr>
        <w:t>F</w:t>
      </w:r>
      <w:r w:rsidR="00B366DC" w:rsidRPr="008165F9">
        <w:rPr>
          <w:rFonts w:ascii="Arial" w:hAnsi="Arial" w:cs="Arial"/>
        </w:rPr>
        <w:t>ive</w:t>
      </w:r>
      <w:r w:rsidR="004453AC" w:rsidRPr="008165F9">
        <w:rPr>
          <w:rFonts w:ascii="Arial" w:hAnsi="Arial" w:cs="Arial"/>
        </w:rPr>
        <w:t xml:space="preserve"> (5) </w:t>
      </w:r>
      <w:r w:rsidR="00D03D1C" w:rsidRPr="008165F9">
        <w:rPr>
          <w:rFonts w:ascii="Arial" w:hAnsi="Arial" w:cs="Arial"/>
        </w:rPr>
        <w:t xml:space="preserve">cases were </w:t>
      </w:r>
      <w:r w:rsidR="004453AC" w:rsidRPr="008165F9">
        <w:rPr>
          <w:rFonts w:ascii="Arial" w:hAnsi="Arial" w:cs="Arial"/>
        </w:rPr>
        <w:t>reported</w:t>
      </w:r>
    </w:p>
    <w:p w:rsidR="00D03D1C" w:rsidRPr="008165F9" w:rsidRDefault="008165F9" w:rsidP="00EB2676">
      <w:pPr>
        <w:numPr>
          <w:ilvl w:val="0"/>
          <w:numId w:val="3"/>
        </w:numPr>
        <w:tabs>
          <w:tab w:val="left" w:pos="1134"/>
          <w:tab w:val="left" w:pos="2410"/>
        </w:tabs>
        <w:spacing w:line="360" w:lineRule="auto"/>
        <w:ind w:left="1134" w:hanging="283"/>
        <w:jc w:val="both"/>
        <w:rPr>
          <w:rFonts w:ascii="Arial" w:hAnsi="Arial" w:cs="Arial"/>
        </w:rPr>
      </w:pPr>
      <w:r>
        <w:rPr>
          <w:rFonts w:ascii="Arial" w:hAnsi="Arial" w:cs="Arial"/>
        </w:rPr>
        <w:t>2015/</w:t>
      </w:r>
      <w:r w:rsidR="004453AC" w:rsidRPr="008165F9">
        <w:rPr>
          <w:rFonts w:ascii="Arial" w:hAnsi="Arial" w:cs="Arial"/>
        </w:rPr>
        <w:t>16</w:t>
      </w:r>
      <w:r w:rsidR="004453AC" w:rsidRPr="008165F9">
        <w:rPr>
          <w:rFonts w:ascii="Arial" w:hAnsi="Arial" w:cs="Arial"/>
        </w:rPr>
        <w:tab/>
        <w:t>:</w:t>
      </w:r>
      <w:r w:rsidR="004453AC" w:rsidRPr="008165F9">
        <w:rPr>
          <w:rFonts w:ascii="Arial" w:hAnsi="Arial" w:cs="Arial"/>
        </w:rPr>
        <w:tab/>
      </w:r>
      <w:r w:rsidR="001D2C73" w:rsidRPr="008165F9">
        <w:rPr>
          <w:rFonts w:ascii="Arial" w:hAnsi="Arial" w:cs="Arial"/>
        </w:rPr>
        <w:t xml:space="preserve">One </w:t>
      </w:r>
      <w:r w:rsidR="00C95CF7" w:rsidRPr="008165F9">
        <w:rPr>
          <w:rFonts w:ascii="Arial" w:hAnsi="Arial" w:cs="Arial"/>
        </w:rPr>
        <w:t>(</w:t>
      </w:r>
      <w:r w:rsidR="001D2C73" w:rsidRPr="008165F9">
        <w:rPr>
          <w:rFonts w:ascii="Arial" w:hAnsi="Arial" w:cs="Arial"/>
        </w:rPr>
        <w:t>1</w:t>
      </w:r>
      <w:r w:rsidR="004453AC" w:rsidRPr="008165F9">
        <w:rPr>
          <w:rFonts w:ascii="Arial" w:hAnsi="Arial" w:cs="Arial"/>
        </w:rPr>
        <w:t xml:space="preserve">) </w:t>
      </w:r>
      <w:r w:rsidR="00D03D1C" w:rsidRPr="008165F9">
        <w:rPr>
          <w:rFonts w:ascii="Arial" w:hAnsi="Arial" w:cs="Arial"/>
        </w:rPr>
        <w:t>case w</w:t>
      </w:r>
      <w:r w:rsidR="001D2C73" w:rsidRPr="008165F9">
        <w:rPr>
          <w:rFonts w:ascii="Arial" w:hAnsi="Arial" w:cs="Arial"/>
        </w:rPr>
        <w:t>as</w:t>
      </w:r>
      <w:r w:rsidR="00D03D1C" w:rsidRPr="008165F9">
        <w:rPr>
          <w:rFonts w:ascii="Arial" w:hAnsi="Arial" w:cs="Arial"/>
        </w:rPr>
        <w:t xml:space="preserve"> </w:t>
      </w:r>
      <w:r w:rsidR="004453AC" w:rsidRPr="008165F9">
        <w:rPr>
          <w:rFonts w:ascii="Arial" w:hAnsi="Arial" w:cs="Arial"/>
        </w:rPr>
        <w:t>reported</w:t>
      </w:r>
      <w:r w:rsidR="00072D0A" w:rsidRPr="008165F9">
        <w:rPr>
          <w:rFonts w:ascii="Arial" w:hAnsi="Arial" w:cs="Arial"/>
        </w:rPr>
        <w:t xml:space="preserve"> </w:t>
      </w:r>
    </w:p>
    <w:p w:rsidR="004453AC" w:rsidRPr="008165F9" w:rsidRDefault="008165F9" w:rsidP="00EB2676">
      <w:pPr>
        <w:numPr>
          <w:ilvl w:val="0"/>
          <w:numId w:val="3"/>
        </w:numPr>
        <w:tabs>
          <w:tab w:val="left" w:pos="1134"/>
          <w:tab w:val="left" w:pos="2410"/>
        </w:tabs>
        <w:spacing w:line="360" w:lineRule="auto"/>
        <w:ind w:left="1134" w:hanging="283"/>
        <w:jc w:val="both"/>
        <w:rPr>
          <w:rFonts w:ascii="Arial" w:hAnsi="Arial" w:cs="Arial"/>
        </w:rPr>
      </w:pPr>
      <w:r>
        <w:rPr>
          <w:rFonts w:ascii="Arial" w:hAnsi="Arial" w:cs="Arial"/>
        </w:rPr>
        <w:t>2016/</w:t>
      </w:r>
      <w:r w:rsidR="004453AC" w:rsidRPr="008165F9">
        <w:rPr>
          <w:rFonts w:ascii="Arial" w:hAnsi="Arial" w:cs="Arial"/>
        </w:rPr>
        <w:t>17</w:t>
      </w:r>
      <w:r w:rsidR="004453AC" w:rsidRPr="008165F9">
        <w:rPr>
          <w:rFonts w:ascii="Arial" w:hAnsi="Arial" w:cs="Arial"/>
        </w:rPr>
        <w:tab/>
        <w:t>:</w:t>
      </w:r>
      <w:r w:rsidR="004453AC" w:rsidRPr="008165F9">
        <w:rPr>
          <w:rFonts w:ascii="Arial" w:hAnsi="Arial" w:cs="Arial"/>
        </w:rPr>
        <w:tab/>
      </w:r>
      <w:r w:rsidR="00165508" w:rsidRPr="008165F9">
        <w:rPr>
          <w:rFonts w:ascii="Arial" w:hAnsi="Arial" w:cs="Arial"/>
        </w:rPr>
        <w:t xml:space="preserve">One (1) case was </w:t>
      </w:r>
      <w:r w:rsidR="004453AC" w:rsidRPr="008165F9">
        <w:rPr>
          <w:rFonts w:ascii="Arial" w:hAnsi="Arial" w:cs="Arial"/>
        </w:rPr>
        <w:t>reported</w:t>
      </w:r>
    </w:p>
    <w:p w:rsidR="00D8545F" w:rsidRPr="008165F9" w:rsidRDefault="00D8545F" w:rsidP="00D8545F">
      <w:pPr>
        <w:tabs>
          <w:tab w:val="left" w:pos="1134"/>
          <w:tab w:val="left" w:pos="3119"/>
        </w:tabs>
        <w:spacing w:line="360" w:lineRule="auto"/>
        <w:ind w:left="1134"/>
        <w:jc w:val="both"/>
        <w:rPr>
          <w:rFonts w:ascii="Arial" w:hAnsi="Arial" w:cs="Arial"/>
        </w:rPr>
      </w:pPr>
    </w:p>
    <w:p w:rsidR="00D03D1C" w:rsidRPr="008165F9" w:rsidRDefault="004453AC" w:rsidP="00EB2676">
      <w:pPr>
        <w:numPr>
          <w:ilvl w:val="0"/>
          <w:numId w:val="6"/>
        </w:numPr>
        <w:tabs>
          <w:tab w:val="left" w:pos="1134"/>
          <w:tab w:val="left" w:pos="3119"/>
        </w:tabs>
        <w:spacing w:line="360" w:lineRule="auto"/>
        <w:ind w:hanging="371"/>
        <w:jc w:val="both"/>
        <w:rPr>
          <w:rFonts w:ascii="Arial" w:hAnsi="Arial" w:cs="Arial"/>
        </w:rPr>
      </w:pPr>
      <w:r w:rsidRPr="008165F9">
        <w:rPr>
          <w:rFonts w:ascii="Arial" w:hAnsi="Arial" w:cs="Arial"/>
        </w:rPr>
        <w:t>From 01 April 2017</w:t>
      </w:r>
      <w:r w:rsidR="008165F9">
        <w:rPr>
          <w:rFonts w:ascii="Arial" w:hAnsi="Arial" w:cs="Arial"/>
        </w:rPr>
        <w:t xml:space="preserve">: </w:t>
      </w:r>
      <w:r w:rsidR="004500F8" w:rsidRPr="008165F9">
        <w:rPr>
          <w:rFonts w:ascii="Arial" w:hAnsi="Arial" w:cs="Arial"/>
        </w:rPr>
        <w:t>Three (3) cases</w:t>
      </w:r>
      <w:r w:rsidR="00165508" w:rsidRPr="008165F9">
        <w:rPr>
          <w:rFonts w:ascii="Arial" w:hAnsi="Arial" w:cs="Arial"/>
        </w:rPr>
        <w:t xml:space="preserve"> were reported</w:t>
      </w:r>
    </w:p>
    <w:p w:rsidR="004453AC" w:rsidRPr="008165F9" w:rsidRDefault="004453AC" w:rsidP="004453AC">
      <w:pPr>
        <w:tabs>
          <w:tab w:val="left" w:pos="1134"/>
          <w:tab w:val="left" w:pos="3119"/>
        </w:tabs>
        <w:spacing w:line="360" w:lineRule="auto"/>
        <w:ind w:left="1134"/>
        <w:jc w:val="both"/>
        <w:rPr>
          <w:rFonts w:ascii="Arial" w:hAnsi="Arial" w:cs="Arial"/>
        </w:rPr>
      </w:pPr>
    </w:p>
    <w:p w:rsidR="004E212A" w:rsidRPr="008165F9" w:rsidRDefault="00D8545F" w:rsidP="00EB2676">
      <w:pPr>
        <w:numPr>
          <w:ilvl w:val="0"/>
          <w:numId w:val="8"/>
        </w:numPr>
        <w:spacing w:line="360" w:lineRule="auto"/>
        <w:ind w:left="1134" w:hanging="425"/>
        <w:jc w:val="both"/>
        <w:rPr>
          <w:rFonts w:ascii="Arial" w:hAnsi="Arial" w:cs="Arial"/>
        </w:rPr>
      </w:pPr>
      <w:r w:rsidRPr="008165F9">
        <w:rPr>
          <w:rFonts w:ascii="Arial" w:hAnsi="Arial" w:cs="Arial"/>
        </w:rPr>
        <w:t xml:space="preserve">The </w:t>
      </w:r>
      <w:r w:rsidR="004E212A" w:rsidRPr="008165F9">
        <w:rPr>
          <w:rFonts w:ascii="Arial" w:hAnsi="Arial" w:cs="Arial"/>
        </w:rPr>
        <w:t>number of cases</w:t>
      </w:r>
      <w:r w:rsidRPr="008165F9">
        <w:rPr>
          <w:rFonts w:ascii="Arial" w:hAnsi="Arial" w:cs="Arial"/>
        </w:rPr>
        <w:t xml:space="preserve"> that were</w:t>
      </w:r>
      <w:r w:rsidR="004E212A" w:rsidRPr="008165F9">
        <w:rPr>
          <w:rFonts w:ascii="Arial" w:hAnsi="Arial" w:cs="Arial"/>
        </w:rPr>
        <w:t>:</w:t>
      </w:r>
    </w:p>
    <w:p w:rsidR="00D8545F" w:rsidRPr="008165F9" w:rsidRDefault="00D8545F" w:rsidP="00EB2676">
      <w:pPr>
        <w:numPr>
          <w:ilvl w:val="0"/>
          <w:numId w:val="7"/>
        </w:numPr>
        <w:spacing w:line="360" w:lineRule="auto"/>
        <w:ind w:left="1134" w:hanging="425"/>
        <w:jc w:val="both"/>
        <w:rPr>
          <w:rFonts w:ascii="Arial" w:hAnsi="Arial" w:cs="Arial"/>
        </w:rPr>
      </w:pPr>
      <w:r w:rsidRPr="008165F9">
        <w:rPr>
          <w:rFonts w:ascii="Arial" w:hAnsi="Arial" w:cs="Arial"/>
        </w:rPr>
        <w:t>Opened and concluded:</w:t>
      </w:r>
    </w:p>
    <w:p w:rsidR="00D8545F" w:rsidRPr="008165F9" w:rsidRDefault="008165F9" w:rsidP="00EB2676">
      <w:pPr>
        <w:numPr>
          <w:ilvl w:val="0"/>
          <w:numId w:val="3"/>
        </w:numPr>
        <w:tabs>
          <w:tab w:val="left" w:pos="1134"/>
          <w:tab w:val="left" w:pos="2410"/>
        </w:tabs>
        <w:spacing w:line="360" w:lineRule="auto"/>
        <w:ind w:left="2694" w:hanging="1843"/>
        <w:jc w:val="both"/>
        <w:rPr>
          <w:rFonts w:ascii="Arial" w:hAnsi="Arial" w:cs="Arial"/>
        </w:rPr>
      </w:pPr>
      <w:r>
        <w:rPr>
          <w:rFonts w:ascii="Arial" w:hAnsi="Arial" w:cs="Arial"/>
        </w:rPr>
        <w:t>2014/</w:t>
      </w:r>
      <w:r w:rsidR="00D8545F" w:rsidRPr="008165F9">
        <w:rPr>
          <w:rFonts w:ascii="Arial" w:hAnsi="Arial" w:cs="Arial"/>
        </w:rPr>
        <w:t>15</w:t>
      </w:r>
      <w:r w:rsidR="00D8545F" w:rsidRPr="008165F9">
        <w:rPr>
          <w:rFonts w:ascii="Arial" w:hAnsi="Arial" w:cs="Arial"/>
        </w:rPr>
        <w:tab/>
        <w:t>:</w:t>
      </w:r>
      <w:r w:rsidR="00D8545F" w:rsidRPr="008165F9">
        <w:rPr>
          <w:rFonts w:ascii="Arial" w:hAnsi="Arial" w:cs="Arial"/>
        </w:rPr>
        <w:tab/>
        <w:t xml:space="preserve">Five (5) cases were opened, </w:t>
      </w:r>
      <w:r w:rsidR="001227BF" w:rsidRPr="008165F9">
        <w:rPr>
          <w:rFonts w:ascii="Arial" w:hAnsi="Arial" w:cs="Arial"/>
        </w:rPr>
        <w:t xml:space="preserve">of which three </w:t>
      </w:r>
      <w:r w:rsidR="004500F8" w:rsidRPr="008165F9">
        <w:rPr>
          <w:rFonts w:ascii="Arial" w:hAnsi="Arial" w:cs="Arial"/>
        </w:rPr>
        <w:t xml:space="preserve">(3) </w:t>
      </w:r>
      <w:r w:rsidR="001227BF" w:rsidRPr="008165F9">
        <w:rPr>
          <w:rFonts w:ascii="Arial" w:hAnsi="Arial" w:cs="Arial"/>
        </w:rPr>
        <w:t xml:space="preserve">were </w:t>
      </w:r>
      <w:r w:rsidR="00D8545F" w:rsidRPr="008165F9">
        <w:rPr>
          <w:rFonts w:ascii="Arial" w:hAnsi="Arial" w:cs="Arial"/>
        </w:rPr>
        <w:t>concluded</w:t>
      </w:r>
    </w:p>
    <w:p w:rsidR="00D8545F" w:rsidRPr="008165F9" w:rsidRDefault="008165F9" w:rsidP="00EB2676">
      <w:pPr>
        <w:numPr>
          <w:ilvl w:val="0"/>
          <w:numId w:val="3"/>
        </w:numPr>
        <w:tabs>
          <w:tab w:val="left" w:pos="1134"/>
          <w:tab w:val="left" w:pos="2410"/>
        </w:tabs>
        <w:spacing w:line="360" w:lineRule="auto"/>
        <w:ind w:left="2694" w:hanging="1843"/>
        <w:jc w:val="both"/>
        <w:rPr>
          <w:rFonts w:ascii="Arial" w:hAnsi="Arial" w:cs="Arial"/>
        </w:rPr>
      </w:pPr>
      <w:r>
        <w:rPr>
          <w:rFonts w:ascii="Arial" w:hAnsi="Arial" w:cs="Arial"/>
        </w:rPr>
        <w:t>2015/</w:t>
      </w:r>
      <w:r w:rsidR="00D8545F" w:rsidRPr="008165F9">
        <w:rPr>
          <w:rFonts w:ascii="Arial" w:hAnsi="Arial" w:cs="Arial"/>
        </w:rPr>
        <w:t>16</w:t>
      </w:r>
      <w:r w:rsidR="00D8545F" w:rsidRPr="008165F9">
        <w:rPr>
          <w:rFonts w:ascii="Arial" w:hAnsi="Arial" w:cs="Arial"/>
        </w:rPr>
        <w:tab/>
        <w:t>:</w:t>
      </w:r>
      <w:r w:rsidR="00D8545F" w:rsidRPr="008165F9">
        <w:rPr>
          <w:rFonts w:ascii="Arial" w:hAnsi="Arial" w:cs="Arial"/>
        </w:rPr>
        <w:tab/>
        <w:t>One (1) case was opened</w:t>
      </w:r>
      <w:r w:rsidR="00031C13" w:rsidRPr="008165F9">
        <w:rPr>
          <w:rFonts w:ascii="Arial" w:hAnsi="Arial" w:cs="Arial"/>
        </w:rPr>
        <w:t xml:space="preserve"> and </w:t>
      </w:r>
      <w:r w:rsidR="001227BF" w:rsidRPr="008165F9">
        <w:rPr>
          <w:rFonts w:ascii="Arial" w:hAnsi="Arial" w:cs="Arial"/>
        </w:rPr>
        <w:t>t</w:t>
      </w:r>
      <w:r w:rsidR="00165508" w:rsidRPr="008165F9">
        <w:rPr>
          <w:rFonts w:ascii="Arial" w:hAnsi="Arial" w:cs="Arial"/>
        </w:rPr>
        <w:t xml:space="preserve">wo (2) cases were carried over from previous </w:t>
      </w:r>
      <w:r w:rsidR="001227BF" w:rsidRPr="008165F9">
        <w:rPr>
          <w:rFonts w:ascii="Arial" w:hAnsi="Arial" w:cs="Arial"/>
        </w:rPr>
        <w:t>f</w:t>
      </w:r>
      <w:r w:rsidR="00165508" w:rsidRPr="008165F9">
        <w:rPr>
          <w:rFonts w:ascii="Arial" w:hAnsi="Arial" w:cs="Arial"/>
        </w:rPr>
        <w:t>inancial year</w:t>
      </w:r>
      <w:r w:rsidR="001227BF" w:rsidRPr="008165F9">
        <w:rPr>
          <w:rFonts w:ascii="Arial" w:hAnsi="Arial" w:cs="Arial"/>
        </w:rPr>
        <w:t>. The two (2) cases concluded during this financial year were those carried over from previous financial year.</w:t>
      </w:r>
    </w:p>
    <w:p w:rsidR="00D8545F" w:rsidRPr="008165F9" w:rsidRDefault="00D8545F" w:rsidP="00EB2676">
      <w:pPr>
        <w:numPr>
          <w:ilvl w:val="0"/>
          <w:numId w:val="3"/>
        </w:numPr>
        <w:tabs>
          <w:tab w:val="left" w:pos="1134"/>
          <w:tab w:val="left" w:pos="2410"/>
        </w:tabs>
        <w:spacing w:line="360" w:lineRule="auto"/>
        <w:ind w:left="2694" w:hanging="1843"/>
        <w:jc w:val="both"/>
        <w:rPr>
          <w:rFonts w:ascii="Arial" w:hAnsi="Arial" w:cs="Arial"/>
        </w:rPr>
      </w:pPr>
      <w:r w:rsidRPr="008165F9">
        <w:rPr>
          <w:rFonts w:ascii="Arial" w:hAnsi="Arial" w:cs="Arial"/>
        </w:rPr>
        <w:t>2016/2017</w:t>
      </w:r>
      <w:r w:rsidRPr="008165F9">
        <w:rPr>
          <w:rFonts w:ascii="Arial" w:hAnsi="Arial" w:cs="Arial"/>
        </w:rPr>
        <w:tab/>
        <w:t>:</w:t>
      </w:r>
      <w:r w:rsidRPr="008165F9">
        <w:rPr>
          <w:rFonts w:ascii="Arial" w:hAnsi="Arial" w:cs="Arial"/>
        </w:rPr>
        <w:tab/>
      </w:r>
      <w:r w:rsidR="00165508" w:rsidRPr="008165F9">
        <w:rPr>
          <w:rFonts w:ascii="Arial" w:hAnsi="Arial" w:cs="Arial"/>
        </w:rPr>
        <w:t xml:space="preserve">One (1) case was </w:t>
      </w:r>
      <w:r w:rsidRPr="008165F9">
        <w:rPr>
          <w:rFonts w:ascii="Arial" w:hAnsi="Arial" w:cs="Arial"/>
        </w:rPr>
        <w:t>opened</w:t>
      </w:r>
      <w:r w:rsidR="00165508" w:rsidRPr="008165F9">
        <w:rPr>
          <w:rFonts w:ascii="Arial" w:hAnsi="Arial" w:cs="Arial"/>
        </w:rPr>
        <w:t xml:space="preserve"> and </w:t>
      </w:r>
      <w:r w:rsidR="001227BF" w:rsidRPr="008165F9">
        <w:rPr>
          <w:rFonts w:ascii="Arial" w:hAnsi="Arial" w:cs="Arial"/>
        </w:rPr>
        <w:t>o</w:t>
      </w:r>
      <w:r w:rsidR="00165508" w:rsidRPr="008165F9">
        <w:rPr>
          <w:rFonts w:ascii="Arial" w:hAnsi="Arial" w:cs="Arial"/>
        </w:rPr>
        <w:t xml:space="preserve">ne (1) case was carried over from previous </w:t>
      </w:r>
      <w:r w:rsidR="001227BF" w:rsidRPr="008165F9">
        <w:rPr>
          <w:rFonts w:ascii="Arial" w:hAnsi="Arial" w:cs="Arial"/>
        </w:rPr>
        <w:t>f</w:t>
      </w:r>
      <w:r w:rsidR="00165508" w:rsidRPr="008165F9">
        <w:rPr>
          <w:rFonts w:ascii="Arial" w:hAnsi="Arial" w:cs="Arial"/>
        </w:rPr>
        <w:t>inancial year making</w:t>
      </w:r>
      <w:r w:rsidR="001227BF" w:rsidRPr="008165F9">
        <w:rPr>
          <w:rFonts w:ascii="Arial" w:hAnsi="Arial" w:cs="Arial"/>
        </w:rPr>
        <w:t>, of which both cases were concluded.</w:t>
      </w:r>
    </w:p>
    <w:p w:rsidR="00213488" w:rsidRDefault="00D8545F" w:rsidP="00EB2676">
      <w:pPr>
        <w:numPr>
          <w:ilvl w:val="0"/>
          <w:numId w:val="3"/>
        </w:numPr>
        <w:tabs>
          <w:tab w:val="left" w:pos="1134"/>
          <w:tab w:val="left" w:pos="3119"/>
        </w:tabs>
        <w:spacing w:line="360" w:lineRule="auto"/>
        <w:ind w:left="3261" w:hanging="2410"/>
        <w:jc w:val="both"/>
        <w:rPr>
          <w:rFonts w:ascii="Arial" w:hAnsi="Arial" w:cs="Arial"/>
        </w:rPr>
      </w:pPr>
      <w:r w:rsidRPr="008165F9">
        <w:rPr>
          <w:rFonts w:ascii="Arial" w:hAnsi="Arial" w:cs="Arial"/>
        </w:rPr>
        <w:t>From 01 Ap</w:t>
      </w:r>
      <w:r w:rsidR="008165F9">
        <w:rPr>
          <w:rFonts w:ascii="Arial" w:hAnsi="Arial" w:cs="Arial"/>
        </w:rPr>
        <w:t xml:space="preserve">ril 2017: </w:t>
      </w:r>
      <w:r w:rsidR="004500F8" w:rsidRPr="008165F9">
        <w:rPr>
          <w:rFonts w:ascii="Arial" w:hAnsi="Arial" w:cs="Arial"/>
        </w:rPr>
        <w:t>Three (3) cases</w:t>
      </w:r>
      <w:r w:rsidRPr="008165F9">
        <w:rPr>
          <w:rFonts w:ascii="Arial" w:hAnsi="Arial" w:cs="Arial"/>
        </w:rPr>
        <w:t xml:space="preserve"> were opened, with </w:t>
      </w:r>
      <w:r w:rsidR="001227BF" w:rsidRPr="008165F9">
        <w:rPr>
          <w:rFonts w:ascii="Arial" w:hAnsi="Arial" w:cs="Arial"/>
        </w:rPr>
        <w:t>t</w:t>
      </w:r>
      <w:r w:rsidR="004500F8" w:rsidRPr="008165F9">
        <w:rPr>
          <w:rFonts w:ascii="Arial" w:hAnsi="Arial" w:cs="Arial"/>
        </w:rPr>
        <w:t>wo (2) cases</w:t>
      </w:r>
      <w:r w:rsidRPr="008165F9">
        <w:rPr>
          <w:rFonts w:ascii="Arial" w:hAnsi="Arial" w:cs="Arial"/>
        </w:rPr>
        <w:t xml:space="preserve"> </w:t>
      </w:r>
    </w:p>
    <w:p w:rsidR="00D8545F" w:rsidRPr="008165F9" w:rsidRDefault="00213488" w:rsidP="00213488">
      <w:pPr>
        <w:tabs>
          <w:tab w:val="left" w:pos="1134"/>
          <w:tab w:val="left" w:pos="3119"/>
        </w:tabs>
        <w:spacing w:line="360" w:lineRule="auto"/>
        <w:ind w:left="3261"/>
        <w:jc w:val="both"/>
        <w:rPr>
          <w:rFonts w:ascii="Arial" w:hAnsi="Arial" w:cs="Arial"/>
        </w:rPr>
      </w:pPr>
      <w:r>
        <w:rPr>
          <w:rFonts w:ascii="Arial" w:hAnsi="Arial" w:cs="Arial"/>
        </w:rPr>
        <w:t xml:space="preserve">  </w:t>
      </w:r>
      <w:r w:rsidR="00D8545F" w:rsidRPr="008165F9">
        <w:rPr>
          <w:rFonts w:ascii="Arial" w:hAnsi="Arial" w:cs="Arial"/>
        </w:rPr>
        <w:t>concluded</w:t>
      </w:r>
      <w:r w:rsidR="001227BF" w:rsidRPr="008165F9">
        <w:rPr>
          <w:rFonts w:ascii="Arial" w:hAnsi="Arial" w:cs="Arial"/>
        </w:rPr>
        <w:t>.</w:t>
      </w:r>
    </w:p>
    <w:p w:rsidR="00D8545F" w:rsidRPr="008165F9" w:rsidRDefault="00D8545F" w:rsidP="00D8545F">
      <w:pPr>
        <w:tabs>
          <w:tab w:val="left" w:pos="1134"/>
          <w:tab w:val="left" w:pos="3119"/>
        </w:tabs>
        <w:spacing w:line="360" w:lineRule="auto"/>
        <w:ind w:left="1134"/>
        <w:jc w:val="both"/>
        <w:rPr>
          <w:rFonts w:ascii="Arial" w:hAnsi="Arial" w:cs="Arial"/>
        </w:rPr>
      </w:pPr>
    </w:p>
    <w:p w:rsidR="00D8545F" w:rsidRPr="008165F9" w:rsidRDefault="00D8545F" w:rsidP="00EB2676">
      <w:pPr>
        <w:numPr>
          <w:ilvl w:val="0"/>
          <w:numId w:val="7"/>
        </w:numPr>
        <w:spacing w:line="360" w:lineRule="auto"/>
        <w:ind w:left="1134" w:hanging="425"/>
        <w:jc w:val="both"/>
        <w:rPr>
          <w:rFonts w:ascii="Arial" w:hAnsi="Arial" w:cs="Arial"/>
        </w:rPr>
      </w:pPr>
      <w:r w:rsidRPr="008165F9">
        <w:rPr>
          <w:rFonts w:ascii="Arial" w:hAnsi="Arial" w:cs="Arial"/>
        </w:rPr>
        <w:t>Withdrawn:</w:t>
      </w:r>
    </w:p>
    <w:p w:rsidR="00D8545F" w:rsidRPr="008165F9" w:rsidRDefault="00213488" w:rsidP="00EB2676">
      <w:pPr>
        <w:numPr>
          <w:ilvl w:val="0"/>
          <w:numId w:val="3"/>
        </w:numPr>
        <w:tabs>
          <w:tab w:val="left" w:pos="1134"/>
          <w:tab w:val="left" w:pos="3119"/>
        </w:tabs>
        <w:spacing w:line="360" w:lineRule="auto"/>
        <w:ind w:left="3544" w:hanging="2693"/>
        <w:jc w:val="both"/>
        <w:rPr>
          <w:rFonts w:ascii="Arial" w:hAnsi="Arial" w:cs="Arial"/>
        </w:rPr>
      </w:pPr>
      <w:r>
        <w:rPr>
          <w:rFonts w:ascii="Arial" w:hAnsi="Arial" w:cs="Arial"/>
        </w:rPr>
        <w:t>2014/</w:t>
      </w:r>
      <w:r w:rsidR="00D8545F" w:rsidRPr="008165F9">
        <w:rPr>
          <w:rFonts w:ascii="Arial" w:hAnsi="Arial" w:cs="Arial"/>
        </w:rPr>
        <w:t>15</w:t>
      </w:r>
      <w:r w:rsidR="00D8545F" w:rsidRPr="008165F9">
        <w:rPr>
          <w:rFonts w:ascii="Arial" w:hAnsi="Arial" w:cs="Arial"/>
        </w:rPr>
        <w:tab/>
        <w:t>:</w:t>
      </w:r>
      <w:r w:rsidR="00D8545F" w:rsidRPr="008165F9">
        <w:rPr>
          <w:rFonts w:ascii="Arial" w:hAnsi="Arial" w:cs="Arial"/>
        </w:rPr>
        <w:tab/>
      </w:r>
      <w:r w:rsidR="004500F8" w:rsidRPr="008165F9">
        <w:rPr>
          <w:rFonts w:ascii="Arial" w:hAnsi="Arial" w:cs="Arial"/>
        </w:rPr>
        <w:t>Zero (0)</w:t>
      </w:r>
      <w:r w:rsidR="00D8545F" w:rsidRPr="008165F9">
        <w:rPr>
          <w:rFonts w:ascii="Arial" w:hAnsi="Arial" w:cs="Arial"/>
        </w:rPr>
        <w:t xml:space="preserve"> cases</w:t>
      </w:r>
    </w:p>
    <w:p w:rsidR="00D8545F" w:rsidRPr="008165F9" w:rsidRDefault="00213488" w:rsidP="00EB2676">
      <w:pPr>
        <w:numPr>
          <w:ilvl w:val="0"/>
          <w:numId w:val="3"/>
        </w:numPr>
        <w:tabs>
          <w:tab w:val="left" w:pos="1134"/>
          <w:tab w:val="left" w:pos="3119"/>
        </w:tabs>
        <w:spacing w:line="360" w:lineRule="auto"/>
        <w:ind w:left="3544" w:hanging="2693"/>
        <w:jc w:val="both"/>
        <w:rPr>
          <w:rFonts w:ascii="Arial" w:hAnsi="Arial" w:cs="Arial"/>
        </w:rPr>
      </w:pPr>
      <w:r>
        <w:rPr>
          <w:rFonts w:ascii="Arial" w:hAnsi="Arial" w:cs="Arial"/>
        </w:rPr>
        <w:t>2015/</w:t>
      </w:r>
      <w:r w:rsidR="00D8545F" w:rsidRPr="008165F9">
        <w:rPr>
          <w:rFonts w:ascii="Arial" w:hAnsi="Arial" w:cs="Arial"/>
        </w:rPr>
        <w:t>16</w:t>
      </w:r>
      <w:r w:rsidR="00D8545F" w:rsidRPr="008165F9">
        <w:rPr>
          <w:rFonts w:ascii="Arial" w:hAnsi="Arial" w:cs="Arial"/>
        </w:rPr>
        <w:tab/>
        <w:t>:</w:t>
      </w:r>
      <w:r w:rsidR="00D8545F" w:rsidRPr="008165F9">
        <w:rPr>
          <w:rFonts w:ascii="Arial" w:hAnsi="Arial" w:cs="Arial"/>
        </w:rPr>
        <w:tab/>
      </w:r>
      <w:r w:rsidR="00031C13" w:rsidRPr="008165F9">
        <w:rPr>
          <w:rFonts w:ascii="Arial" w:hAnsi="Arial" w:cs="Arial"/>
        </w:rPr>
        <w:t>One (1)  case</w:t>
      </w:r>
    </w:p>
    <w:p w:rsidR="00D8545F" w:rsidRPr="008165F9" w:rsidRDefault="00213488" w:rsidP="00EB2676">
      <w:pPr>
        <w:numPr>
          <w:ilvl w:val="0"/>
          <w:numId w:val="3"/>
        </w:numPr>
        <w:tabs>
          <w:tab w:val="left" w:pos="1134"/>
          <w:tab w:val="left" w:pos="3119"/>
        </w:tabs>
        <w:spacing w:line="360" w:lineRule="auto"/>
        <w:ind w:left="3544" w:hanging="2693"/>
        <w:jc w:val="both"/>
        <w:rPr>
          <w:rFonts w:ascii="Arial" w:hAnsi="Arial" w:cs="Arial"/>
        </w:rPr>
      </w:pPr>
      <w:r>
        <w:rPr>
          <w:rFonts w:ascii="Arial" w:hAnsi="Arial" w:cs="Arial"/>
        </w:rPr>
        <w:t>2016/</w:t>
      </w:r>
      <w:r w:rsidR="00D8545F" w:rsidRPr="008165F9">
        <w:rPr>
          <w:rFonts w:ascii="Arial" w:hAnsi="Arial" w:cs="Arial"/>
        </w:rPr>
        <w:t>17</w:t>
      </w:r>
      <w:r w:rsidR="00D8545F" w:rsidRPr="008165F9">
        <w:rPr>
          <w:rFonts w:ascii="Arial" w:hAnsi="Arial" w:cs="Arial"/>
        </w:rPr>
        <w:tab/>
        <w:t>:</w:t>
      </w:r>
      <w:r w:rsidR="00D8545F" w:rsidRPr="008165F9">
        <w:rPr>
          <w:rFonts w:ascii="Arial" w:hAnsi="Arial" w:cs="Arial"/>
        </w:rPr>
        <w:tab/>
      </w:r>
      <w:r w:rsidR="00165508" w:rsidRPr="008165F9">
        <w:rPr>
          <w:rFonts w:ascii="Arial" w:hAnsi="Arial" w:cs="Arial"/>
        </w:rPr>
        <w:t>One (1)  case</w:t>
      </w:r>
    </w:p>
    <w:p w:rsidR="00D8545F" w:rsidRPr="008165F9" w:rsidRDefault="008165F9" w:rsidP="00EB2676">
      <w:pPr>
        <w:numPr>
          <w:ilvl w:val="0"/>
          <w:numId w:val="3"/>
        </w:numPr>
        <w:tabs>
          <w:tab w:val="left" w:pos="1134"/>
          <w:tab w:val="left" w:pos="3119"/>
        </w:tabs>
        <w:spacing w:line="360" w:lineRule="auto"/>
        <w:ind w:left="3544" w:hanging="2693"/>
        <w:jc w:val="both"/>
        <w:rPr>
          <w:rFonts w:ascii="Arial" w:hAnsi="Arial" w:cs="Arial"/>
        </w:rPr>
      </w:pPr>
      <w:r>
        <w:rPr>
          <w:rFonts w:ascii="Arial" w:hAnsi="Arial" w:cs="Arial"/>
        </w:rPr>
        <w:t xml:space="preserve">From 01 April 2017: </w:t>
      </w:r>
      <w:r>
        <w:rPr>
          <w:rFonts w:ascii="Arial" w:hAnsi="Arial" w:cs="Arial"/>
        </w:rPr>
        <w:tab/>
      </w:r>
      <w:r w:rsidR="004500F8" w:rsidRPr="008165F9">
        <w:rPr>
          <w:rFonts w:ascii="Arial" w:hAnsi="Arial" w:cs="Arial"/>
        </w:rPr>
        <w:t xml:space="preserve">Two (2) </w:t>
      </w:r>
      <w:r w:rsidR="00D8545F" w:rsidRPr="008165F9">
        <w:rPr>
          <w:rFonts w:ascii="Arial" w:hAnsi="Arial" w:cs="Arial"/>
        </w:rPr>
        <w:t>cases</w:t>
      </w:r>
    </w:p>
    <w:p w:rsidR="00D8545F" w:rsidRPr="008165F9" w:rsidRDefault="00D8545F" w:rsidP="00D8545F">
      <w:pPr>
        <w:spacing w:line="360" w:lineRule="auto"/>
        <w:jc w:val="both"/>
        <w:rPr>
          <w:rFonts w:ascii="Arial" w:hAnsi="Arial" w:cs="Arial"/>
        </w:rPr>
      </w:pPr>
    </w:p>
    <w:p w:rsidR="004C1C84" w:rsidRPr="008165F9" w:rsidRDefault="004C1C84" w:rsidP="00EB2676">
      <w:pPr>
        <w:numPr>
          <w:ilvl w:val="0"/>
          <w:numId w:val="7"/>
        </w:numPr>
        <w:spacing w:line="360" w:lineRule="auto"/>
        <w:ind w:left="1134" w:hanging="425"/>
        <w:jc w:val="both"/>
        <w:rPr>
          <w:rFonts w:ascii="Arial" w:hAnsi="Arial" w:cs="Arial"/>
        </w:rPr>
      </w:pPr>
      <w:r w:rsidRPr="008165F9">
        <w:rPr>
          <w:rFonts w:ascii="Arial" w:hAnsi="Arial" w:cs="Arial"/>
        </w:rPr>
        <w:t xml:space="preserve">Remained </w:t>
      </w:r>
      <w:r w:rsidR="00D8545F" w:rsidRPr="008165F9">
        <w:rPr>
          <w:rFonts w:ascii="Arial" w:hAnsi="Arial" w:cs="Arial"/>
        </w:rPr>
        <w:t>Open</w:t>
      </w:r>
      <w:r w:rsidRPr="008165F9">
        <w:rPr>
          <w:rFonts w:ascii="Arial" w:hAnsi="Arial" w:cs="Arial"/>
        </w:rPr>
        <w:t>, based on incidents:</w:t>
      </w:r>
    </w:p>
    <w:p w:rsidR="004C1C84" w:rsidRPr="008165F9" w:rsidRDefault="004C1C84" w:rsidP="00EB2676">
      <w:pPr>
        <w:numPr>
          <w:ilvl w:val="0"/>
          <w:numId w:val="3"/>
        </w:numPr>
        <w:tabs>
          <w:tab w:val="left" w:pos="1134"/>
          <w:tab w:val="left" w:pos="3119"/>
        </w:tabs>
        <w:spacing w:line="360" w:lineRule="auto"/>
        <w:ind w:left="3544" w:hanging="2693"/>
        <w:jc w:val="both"/>
        <w:rPr>
          <w:rFonts w:ascii="Arial" w:hAnsi="Arial" w:cs="Arial"/>
        </w:rPr>
      </w:pPr>
      <w:r w:rsidRPr="008165F9">
        <w:rPr>
          <w:rFonts w:ascii="Arial" w:hAnsi="Arial" w:cs="Arial"/>
        </w:rPr>
        <w:t>201</w:t>
      </w:r>
      <w:r w:rsidR="00213488">
        <w:rPr>
          <w:rFonts w:ascii="Arial" w:hAnsi="Arial" w:cs="Arial"/>
        </w:rPr>
        <w:t>4/</w:t>
      </w:r>
      <w:r w:rsidRPr="008165F9">
        <w:rPr>
          <w:rFonts w:ascii="Arial" w:hAnsi="Arial" w:cs="Arial"/>
        </w:rPr>
        <w:t>15</w:t>
      </w:r>
      <w:r w:rsidRPr="008165F9">
        <w:rPr>
          <w:rFonts w:ascii="Arial" w:hAnsi="Arial" w:cs="Arial"/>
        </w:rPr>
        <w:tab/>
        <w:t>:</w:t>
      </w:r>
      <w:r w:rsidRPr="008165F9">
        <w:rPr>
          <w:rFonts w:ascii="Arial" w:hAnsi="Arial" w:cs="Arial"/>
        </w:rPr>
        <w:tab/>
      </w:r>
      <w:r w:rsidR="004500F8" w:rsidRPr="008165F9">
        <w:rPr>
          <w:rFonts w:ascii="Arial" w:hAnsi="Arial" w:cs="Arial"/>
        </w:rPr>
        <w:t xml:space="preserve">Two (2) </w:t>
      </w:r>
      <w:r w:rsidRPr="008165F9">
        <w:rPr>
          <w:rFonts w:ascii="Arial" w:hAnsi="Arial" w:cs="Arial"/>
        </w:rPr>
        <w:t>cases</w:t>
      </w:r>
      <w:r w:rsidR="004500F8" w:rsidRPr="008165F9">
        <w:rPr>
          <w:rFonts w:ascii="Arial" w:hAnsi="Arial" w:cs="Arial"/>
        </w:rPr>
        <w:t xml:space="preserve"> (carried over to next </w:t>
      </w:r>
      <w:r w:rsidR="001227BF" w:rsidRPr="008165F9">
        <w:rPr>
          <w:rFonts w:ascii="Arial" w:hAnsi="Arial" w:cs="Arial"/>
        </w:rPr>
        <w:t>f</w:t>
      </w:r>
      <w:r w:rsidR="004500F8" w:rsidRPr="008165F9">
        <w:rPr>
          <w:rFonts w:ascii="Arial" w:hAnsi="Arial" w:cs="Arial"/>
        </w:rPr>
        <w:t>inancial year)</w:t>
      </w:r>
    </w:p>
    <w:p w:rsidR="004C1C84" w:rsidRPr="008165F9" w:rsidRDefault="00213488" w:rsidP="00EB2676">
      <w:pPr>
        <w:numPr>
          <w:ilvl w:val="0"/>
          <w:numId w:val="3"/>
        </w:numPr>
        <w:tabs>
          <w:tab w:val="left" w:pos="1134"/>
          <w:tab w:val="left" w:pos="3119"/>
        </w:tabs>
        <w:spacing w:line="360" w:lineRule="auto"/>
        <w:ind w:left="3544" w:hanging="2693"/>
        <w:jc w:val="both"/>
        <w:rPr>
          <w:rFonts w:ascii="Arial" w:hAnsi="Arial" w:cs="Arial"/>
        </w:rPr>
      </w:pPr>
      <w:r>
        <w:rPr>
          <w:rFonts w:ascii="Arial" w:hAnsi="Arial" w:cs="Arial"/>
        </w:rPr>
        <w:t>2015/</w:t>
      </w:r>
      <w:r w:rsidR="004C1C84" w:rsidRPr="008165F9">
        <w:rPr>
          <w:rFonts w:ascii="Arial" w:hAnsi="Arial" w:cs="Arial"/>
        </w:rPr>
        <w:t>16</w:t>
      </w:r>
      <w:r w:rsidR="004C1C84" w:rsidRPr="008165F9">
        <w:rPr>
          <w:rFonts w:ascii="Arial" w:hAnsi="Arial" w:cs="Arial"/>
        </w:rPr>
        <w:tab/>
        <w:t>:</w:t>
      </w:r>
      <w:r w:rsidR="004C1C84" w:rsidRPr="008165F9">
        <w:rPr>
          <w:rFonts w:ascii="Arial" w:hAnsi="Arial" w:cs="Arial"/>
        </w:rPr>
        <w:tab/>
      </w:r>
      <w:r w:rsidR="00031C13" w:rsidRPr="008165F9">
        <w:rPr>
          <w:rFonts w:ascii="Arial" w:hAnsi="Arial" w:cs="Arial"/>
        </w:rPr>
        <w:t xml:space="preserve">One (1)  case </w:t>
      </w:r>
      <w:r w:rsidR="004500F8" w:rsidRPr="008165F9">
        <w:rPr>
          <w:rFonts w:ascii="Arial" w:hAnsi="Arial" w:cs="Arial"/>
        </w:rPr>
        <w:t xml:space="preserve">(carried over to next </w:t>
      </w:r>
      <w:r w:rsidR="001227BF" w:rsidRPr="008165F9">
        <w:rPr>
          <w:rFonts w:ascii="Arial" w:hAnsi="Arial" w:cs="Arial"/>
        </w:rPr>
        <w:t>f</w:t>
      </w:r>
      <w:r w:rsidR="004500F8" w:rsidRPr="008165F9">
        <w:rPr>
          <w:rFonts w:ascii="Arial" w:hAnsi="Arial" w:cs="Arial"/>
        </w:rPr>
        <w:t>inancial year)</w:t>
      </w:r>
    </w:p>
    <w:p w:rsidR="004C1C84" w:rsidRPr="008165F9" w:rsidRDefault="00213488" w:rsidP="00EB2676">
      <w:pPr>
        <w:numPr>
          <w:ilvl w:val="0"/>
          <w:numId w:val="3"/>
        </w:numPr>
        <w:tabs>
          <w:tab w:val="left" w:pos="1134"/>
          <w:tab w:val="left" w:pos="3119"/>
        </w:tabs>
        <w:spacing w:line="360" w:lineRule="auto"/>
        <w:ind w:left="3544" w:hanging="2693"/>
        <w:jc w:val="both"/>
        <w:rPr>
          <w:rFonts w:ascii="Arial" w:hAnsi="Arial" w:cs="Arial"/>
        </w:rPr>
      </w:pPr>
      <w:r>
        <w:rPr>
          <w:rFonts w:ascii="Arial" w:hAnsi="Arial" w:cs="Arial"/>
        </w:rPr>
        <w:t>2016/</w:t>
      </w:r>
      <w:r w:rsidR="004C1C84" w:rsidRPr="008165F9">
        <w:rPr>
          <w:rFonts w:ascii="Arial" w:hAnsi="Arial" w:cs="Arial"/>
        </w:rPr>
        <w:t>17</w:t>
      </w:r>
      <w:r w:rsidR="004C1C84" w:rsidRPr="008165F9">
        <w:rPr>
          <w:rFonts w:ascii="Arial" w:hAnsi="Arial" w:cs="Arial"/>
        </w:rPr>
        <w:tab/>
        <w:t>:</w:t>
      </w:r>
      <w:r w:rsidR="004C1C84" w:rsidRPr="008165F9">
        <w:rPr>
          <w:rFonts w:ascii="Arial" w:hAnsi="Arial" w:cs="Arial"/>
        </w:rPr>
        <w:tab/>
      </w:r>
      <w:r w:rsidR="00165508" w:rsidRPr="008165F9">
        <w:rPr>
          <w:rFonts w:ascii="Arial" w:hAnsi="Arial" w:cs="Arial"/>
        </w:rPr>
        <w:t>Zero (0)</w:t>
      </w:r>
      <w:r w:rsidR="004C1C84" w:rsidRPr="008165F9">
        <w:rPr>
          <w:rFonts w:ascii="Arial" w:hAnsi="Arial" w:cs="Arial"/>
        </w:rPr>
        <w:t xml:space="preserve"> cases</w:t>
      </w:r>
    </w:p>
    <w:p w:rsidR="004C1C84" w:rsidRPr="008165F9" w:rsidRDefault="008165F9" w:rsidP="00EB2676">
      <w:pPr>
        <w:numPr>
          <w:ilvl w:val="0"/>
          <w:numId w:val="3"/>
        </w:numPr>
        <w:tabs>
          <w:tab w:val="left" w:pos="1134"/>
          <w:tab w:val="left" w:pos="3119"/>
        </w:tabs>
        <w:spacing w:line="360" w:lineRule="auto"/>
        <w:ind w:left="3544" w:hanging="2693"/>
        <w:jc w:val="both"/>
        <w:rPr>
          <w:rFonts w:ascii="Arial" w:hAnsi="Arial" w:cs="Arial"/>
        </w:rPr>
      </w:pPr>
      <w:r>
        <w:rPr>
          <w:rFonts w:ascii="Arial" w:hAnsi="Arial" w:cs="Arial"/>
        </w:rPr>
        <w:t>From 01 April 2017</w:t>
      </w:r>
      <w:r w:rsidR="004C1C84" w:rsidRPr="008165F9">
        <w:rPr>
          <w:rFonts w:ascii="Arial" w:hAnsi="Arial" w:cs="Arial"/>
        </w:rPr>
        <w:t>:</w:t>
      </w:r>
      <w:r w:rsidR="004C1C84" w:rsidRPr="008165F9">
        <w:rPr>
          <w:rFonts w:ascii="Arial" w:hAnsi="Arial" w:cs="Arial"/>
        </w:rPr>
        <w:tab/>
      </w:r>
      <w:r w:rsidR="004500F8" w:rsidRPr="008165F9">
        <w:rPr>
          <w:rFonts w:ascii="Arial" w:hAnsi="Arial" w:cs="Arial"/>
        </w:rPr>
        <w:t xml:space="preserve">One (1) </w:t>
      </w:r>
      <w:r w:rsidR="004C1C84" w:rsidRPr="008165F9">
        <w:rPr>
          <w:rFonts w:ascii="Arial" w:hAnsi="Arial" w:cs="Arial"/>
        </w:rPr>
        <w:t xml:space="preserve"> case</w:t>
      </w:r>
    </w:p>
    <w:p w:rsidR="0031150C" w:rsidRPr="008165F9" w:rsidRDefault="0031150C" w:rsidP="00031C13">
      <w:pPr>
        <w:pStyle w:val="ListParagraph"/>
        <w:ind w:left="0"/>
        <w:rPr>
          <w:rFonts w:ascii="Arial" w:hAnsi="Arial" w:cs="Arial"/>
        </w:rPr>
      </w:pPr>
    </w:p>
    <w:p w:rsidR="00D03D1C" w:rsidRPr="008165F9" w:rsidRDefault="004C1C84" w:rsidP="00EB2676">
      <w:pPr>
        <w:numPr>
          <w:ilvl w:val="0"/>
          <w:numId w:val="8"/>
        </w:numPr>
        <w:spacing w:line="360" w:lineRule="auto"/>
        <w:ind w:left="1134" w:hanging="425"/>
        <w:jc w:val="both"/>
        <w:rPr>
          <w:rFonts w:ascii="Arial" w:hAnsi="Arial" w:cs="Arial"/>
        </w:rPr>
      </w:pPr>
      <w:r w:rsidRPr="008165F9">
        <w:rPr>
          <w:rFonts w:ascii="Arial" w:hAnsi="Arial" w:cs="Arial"/>
        </w:rPr>
        <w:t>S</w:t>
      </w:r>
      <w:r w:rsidR="00D03D1C" w:rsidRPr="008165F9">
        <w:rPr>
          <w:rFonts w:ascii="Arial" w:hAnsi="Arial" w:cs="Arial"/>
        </w:rPr>
        <w:t>anctions issued for each person who was found to have been guilty</w:t>
      </w:r>
      <w:r w:rsidR="008165F9">
        <w:rPr>
          <w:rFonts w:ascii="Arial" w:hAnsi="Arial" w:cs="Arial"/>
        </w:rPr>
        <w:t>:</w:t>
      </w:r>
    </w:p>
    <w:p w:rsidR="004C1C84" w:rsidRPr="008165F9" w:rsidRDefault="004C1C84" w:rsidP="00EB2676">
      <w:pPr>
        <w:numPr>
          <w:ilvl w:val="0"/>
          <w:numId w:val="3"/>
        </w:numPr>
        <w:tabs>
          <w:tab w:val="left" w:pos="1134"/>
          <w:tab w:val="left" w:pos="2410"/>
        </w:tabs>
        <w:spacing w:line="360" w:lineRule="auto"/>
        <w:ind w:left="2694" w:hanging="1843"/>
        <w:jc w:val="both"/>
        <w:rPr>
          <w:rFonts w:ascii="Arial" w:hAnsi="Arial" w:cs="Arial"/>
        </w:rPr>
      </w:pPr>
      <w:r w:rsidRPr="008165F9">
        <w:rPr>
          <w:rFonts w:ascii="Arial" w:hAnsi="Arial" w:cs="Arial"/>
        </w:rPr>
        <w:t>2</w:t>
      </w:r>
      <w:r w:rsidR="00213488">
        <w:rPr>
          <w:rFonts w:ascii="Arial" w:hAnsi="Arial" w:cs="Arial"/>
        </w:rPr>
        <w:t>014/</w:t>
      </w:r>
      <w:r w:rsidRPr="008165F9">
        <w:rPr>
          <w:rFonts w:ascii="Arial" w:hAnsi="Arial" w:cs="Arial"/>
        </w:rPr>
        <w:t>15</w:t>
      </w:r>
      <w:r w:rsidRPr="008165F9">
        <w:rPr>
          <w:rFonts w:ascii="Arial" w:hAnsi="Arial" w:cs="Arial"/>
        </w:rPr>
        <w:tab/>
        <w:t>:</w:t>
      </w:r>
      <w:r w:rsidRPr="008165F9">
        <w:rPr>
          <w:rFonts w:ascii="Arial" w:hAnsi="Arial" w:cs="Arial"/>
        </w:rPr>
        <w:tab/>
      </w:r>
      <w:r w:rsidR="00D1070F" w:rsidRPr="008165F9">
        <w:rPr>
          <w:rFonts w:ascii="Arial" w:hAnsi="Arial" w:cs="Arial"/>
        </w:rPr>
        <w:t xml:space="preserve">From </w:t>
      </w:r>
      <w:r w:rsidR="000F0D42" w:rsidRPr="008165F9">
        <w:rPr>
          <w:rFonts w:ascii="Arial" w:hAnsi="Arial" w:cs="Arial"/>
        </w:rPr>
        <w:t>the</w:t>
      </w:r>
      <w:r w:rsidRPr="008165F9">
        <w:rPr>
          <w:rFonts w:ascii="Arial" w:hAnsi="Arial" w:cs="Arial"/>
        </w:rPr>
        <w:t xml:space="preserve"> </w:t>
      </w:r>
      <w:r w:rsidR="001227BF" w:rsidRPr="008165F9">
        <w:rPr>
          <w:rFonts w:ascii="Arial" w:hAnsi="Arial" w:cs="Arial"/>
        </w:rPr>
        <w:t>t</w:t>
      </w:r>
      <w:r w:rsidR="00031C13" w:rsidRPr="008165F9">
        <w:rPr>
          <w:rFonts w:ascii="Arial" w:hAnsi="Arial" w:cs="Arial"/>
        </w:rPr>
        <w:t>hree (3)</w:t>
      </w:r>
      <w:r w:rsidRPr="008165F9">
        <w:rPr>
          <w:rFonts w:ascii="Arial" w:hAnsi="Arial" w:cs="Arial"/>
        </w:rPr>
        <w:t xml:space="preserve"> cases</w:t>
      </w:r>
      <w:r w:rsidR="000F0D42" w:rsidRPr="008165F9">
        <w:rPr>
          <w:rFonts w:ascii="Arial" w:hAnsi="Arial" w:cs="Arial"/>
        </w:rPr>
        <w:t xml:space="preserve"> finalised</w:t>
      </w:r>
      <w:r w:rsidRPr="008165F9">
        <w:rPr>
          <w:rFonts w:ascii="Arial" w:hAnsi="Arial" w:cs="Arial"/>
        </w:rPr>
        <w:t xml:space="preserve">, </w:t>
      </w:r>
      <w:r w:rsidR="001227BF" w:rsidRPr="008165F9">
        <w:rPr>
          <w:rFonts w:ascii="Arial" w:hAnsi="Arial" w:cs="Arial"/>
        </w:rPr>
        <w:t>t</w:t>
      </w:r>
      <w:r w:rsidR="00031C13" w:rsidRPr="008165F9">
        <w:rPr>
          <w:rFonts w:ascii="Arial" w:hAnsi="Arial" w:cs="Arial"/>
        </w:rPr>
        <w:t xml:space="preserve">hree (3) </w:t>
      </w:r>
      <w:r w:rsidRPr="008165F9">
        <w:rPr>
          <w:rFonts w:ascii="Arial" w:hAnsi="Arial" w:cs="Arial"/>
        </w:rPr>
        <w:t xml:space="preserve">employees were found guilty and a sanction of </w:t>
      </w:r>
      <w:r w:rsidR="00031C13" w:rsidRPr="008165F9">
        <w:rPr>
          <w:rFonts w:ascii="Arial" w:hAnsi="Arial" w:cs="Arial"/>
          <w:i/>
        </w:rPr>
        <w:t>Suspension without pay</w:t>
      </w:r>
      <w:r w:rsidR="0063043D" w:rsidRPr="0063043D">
        <w:rPr>
          <w:rFonts w:ascii="Arial" w:hAnsi="Arial" w:cs="Arial"/>
        </w:rPr>
        <w:t xml:space="preserve"> </w:t>
      </w:r>
      <w:r w:rsidR="0063043D" w:rsidRPr="008165F9">
        <w:rPr>
          <w:rFonts w:ascii="Arial" w:hAnsi="Arial" w:cs="Arial"/>
        </w:rPr>
        <w:t>was imposed</w:t>
      </w:r>
      <w:r w:rsidR="001227BF" w:rsidRPr="008165F9">
        <w:rPr>
          <w:rFonts w:ascii="Arial" w:hAnsi="Arial" w:cs="Arial"/>
        </w:rPr>
        <w:t>.</w:t>
      </w:r>
    </w:p>
    <w:p w:rsidR="004C1C84" w:rsidRPr="008165F9" w:rsidRDefault="00213488" w:rsidP="00EB2676">
      <w:pPr>
        <w:numPr>
          <w:ilvl w:val="0"/>
          <w:numId w:val="3"/>
        </w:numPr>
        <w:tabs>
          <w:tab w:val="left" w:pos="1134"/>
          <w:tab w:val="left" w:pos="2410"/>
        </w:tabs>
        <w:spacing w:line="360" w:lineRule="auto"/>
        <w:ind w:left="2694" w:hanging="1843"/>
        <w:jc w:val="both"/>
        <w:rPr>
          <w:rFonts w:ascii="Arial" w:hAnsi="Arial" w:cs="Arial"/>
        </w:rPr>
      </w:pPr>
      <w:r>
        <w:rPr>
          <w:rFonts w:ascii="Arial" w:hAnsi="Arial" w:cs="Arial"/>
        </w:rPr>
        <w:t>2015/</w:t>
      </w:r>
      <w:r w:rsidR="004C1C84" w:rsidRPr="008165F9">
        <w:rPr>
          <w:rFonts w:ascii="Arial" w:hAnsi="Arial" w:cs="Arial"/>
        </w:rPr>
        <w:t>16</w:t>
      </w:r>
      <w:r w:rsidR="004C1C84" w:rsidRPr="008165F9">
        <w:rPr>
          <w:rFonts w:ascii="Arial" w:hAnsi="Arial" w:cs="Arial"/>
        </w:rPr>
        <w:tab/>
        <w:t>:</w:t>
      </w:r>
      <w:r w:rsidR="004C1C84" w:rsidRPr="008165F9">
        <w:rPr>
          <w:rFonts w:ascii="Arial" w:hAnsi="Arial" w:cs="Arial"/>
        </w:rPr>
        <w:tab/>
      </w:r>
      <w:r w:rsidR="00D1070F" w:rsidRPr="008165F9">
        <w:rPr>
          <w:rFonts w:ascii="Arial" w:hAnsi="Arial" w:cs="Arial"/>
        </w:rPr>
        <w:t xml:space="preserve">From </w:t>
      </w:r>
      <w:r w:rsidR="000F0D42" w:rsidRPr="008165F9">
        <w:rPr>
          <w:rFonts w:ascii="Arial" w:hAnsi="Arial" w:cs="Arial"/>
        </w:rPr>
        <w:t>the</w:t>
      </w:r>
      <w:r w:rsidR="004C1C84" w:rsidRPr="008165F9">
        <w:rPr>
          <w:rFonts w:ascii="Arial" w:hAnsi="Arial" w:cs="Arial"/>
        </w:rPr>
        <w:t xml:space="preserve"> </w:t>
      </w:r>
      <w:r w:rsidR="001227BF" w:rsidRPr="008165F9">
        <w:rPr>
          <w:rFonts w:ascii="Arial" w:hAnsi="Arial" w:cs="Arial"/>
        </w:rPr>
        <w:t>t</w:t>
      </w:r>
      <w:r w:rsidR="00031C13" w:rsidRPr="008165F9">
        <w:rPr>
          <w:rFonts w:ascii="Arial" w:hAnsi="Arial" w:cs="Arial"/>
        </w:rPr>
        <w:t>wo (2) cases</w:t>
      </w:r>
      <w:r w:rsidR="000F0D42" w:rsidRPr="008165F9">
        <w:rPr>
          <w:rFonts w:ascii="Arial" w:hAnsi="Arial" w:cs="Arial"/>
        </w:rPr>
        <w:t xml:space="preserve"> finalised</w:t>
      </w:r>
      <w:r w:rsidR="004C1C84" w:rsidRPr="008165F9">
        <w:rPr>
          <w:rFonts w:ascii="Arial" w:hAnsi="Arial" w:cs="Arial"/>
        </w:rPr>
        <w:t xml:space="preserve">, </w:t>
      </w:r>
      <w:r w:rsidR="001227BF" w:rsidRPr="008165F9">
        <w:rPr>
          <w:rFonts w:ascii="Arial" w:hAnsi="Arial" w:cs="Arial"/>
        </w:rPr>
        <w:t>o</w:t>
      </w:r>
      <w:r w:rsidR="00031C13" w:rsidRPr="008165F9">
        <w:rPr>
          <w:rFonts w:ascii="Arial" w:hAnsi="Arial" w:cs="Arial"/>
        </w:rPr>
        <w:t xml:space="preserve">ne (1) </w:t>
      </w:r>
      <w:r w:rsidR="004C1C84" w:rsidRPr="008165F9">
        <w:rPr>
          <w:rFonts w:ascii="Arial" w:hAnsi="Arial" w:cs="Arial"/>
        </w:rPr>
        <w:t>employee w</w:t>
      </w:r>
      <w:r w:rsidR="000F0D42" w:rsidRPr="008165F9">
        <w:rPr>
          <w:rFonts w:ascii="Arial" w:hAnsi="Arial" w:cs="Arial"/>
        </w:rPr>
        <w:t>as</w:t>
      </w:r>
      <w:r w:rsidR="004C1C84" w:rsidRPr="008165F9">
        <w:rPr>
          <w:rFonts w:ascii="Arial" w:hAnsi="Arial" w:cs="Arial"/>
        </w:rPr>
        <w:t xml:space="preserve"> found guilty and a sanction of </w:t>
      </w:r>
      <w:r w:rsidR="00031C13" w:rsidRPr="008165F9">
        <w:rPr>
          <w:rFonts w:ascii="Arial" w:hAnsi="Arial" w:cs="Arial"/>
          <w:i/>
        </w:rPr>
        <w:t>Suspension without pay</w:t>
      </w:r>
      <w:r w:rsidR="00031C13" w:rsidRPr="008165F9">
        <w:rPr>
          <w:rFonts w:ascii="Arial" w:hAnsi="Arial" w:cs="Arial"/>
        </w:rPr>
        <w:t xml:space="preserve"> </w:t>
      </w:r>
      <w:r w:rsidR="0063043D" w:rsidRPr="008165F9">
        <w:rPr>
          <w:rFonts w:ascii="Arial" w:hAnsi="Arial" w:cs="Arial"/>
        </w:rPr>
        <w:t>was imposed</w:t>
      </w:r>
      <w:r w:rsidR="0063043D">
        <w:rPr>
          <w:rFonts w:ascii="Arial" w:hAnsi="Arial" w:cs="Arial"/>
        </w:rPr>
        <w:t>,</w:t>
      </w:r>
      <w:r w:rsidR="0063043D" w:rsidRPr="008165F9">
        <w:rPr>
          <w:rFonts w:ascii="Arial" w:hAnsi="Arial" w:cs="Arial"/>
        </w:rPr>
        <w:t xml:space="preserve"> </w:t>
      </w:r>
      <w:r w:rsidR="00031C13" w:rsidRPr="008165F9">
        <w:rPr>
          <w:rFonts w:ascii="Arial" w:hAnsi="Arial" w:cs="Arial"/>
        </w:rPr>
        <w:t xml:space="preserve">and </w:t>
      </w:r>
      <w:r w:rsidR="001227BF" w:rsidRPr="008165F9">
        <w:rPr>
          <w:rFonts w:ascii="Arial" w:hAnsi="Arial" w:cs="Arial"/>
        </w:rPr>
        <w:t>o</w:t>
      </w:r>
      <w:r w:rsidR="00031C13" w:rsidRPr="008165F9">
        <w:rPr>
          <w:rFonts w:ascii="Arial" w:hAnsi="Arial" w:cs="Arial"/>
        </w:rPr>
        <w:t>ne (1) case was withdrawn</w:t>
      </w:r>
      <w:r w:rsidR="001227BF" w:rsidRPr="008165F9">
        <w:rPr>
          <w:rFonts w:ascii="Arial" w:hAnsi="Arial" w:cs="Arial"/>
        </w:rPr>
        <w:t xml:space="preserve"> after the parties agreed on a settlement</w:t>
      </w:r>
      <w:r w:rsidR="00031C13" w:rsidRPr="008165F9">
        <w:rPr>
          <w:rFonts w:ascii="Arial" w:hAnsi="Arial" w:cs="Arial"/>
        </w:rPr>
        <w:t xml:space="preserve"> - deemed clos</w:t>
      </w:r>
      <w:r w:rsidR="001227BF" w:rsidRPr="008165F9">
        <w:rPr>
          <w:rFonts w:ascii="Arial" w:hAnsi="Arial" w:cs="Arial"/>
        </w:rPr>
        <w:t>ed and finalised.</w:t>
      </w:r>
    </w:p>
    <w:p w:rsidR="004C1C84" w:rsidRPr="008165F9" w:rsidRDefault="00213488" w:rsidP="00EB2676">
      <w:pPr>
        <w:numPr>
          <w:ilvl w:val="0"/>
          <w:numId w:val="3"/>
        </w:numPr>
        <w:tabs>
          <w:tab w:val="left" w:pos="1134"/>
          <w:tab w:val="left" w:pos="2410"/>
        </w:tabs>
        <w:spacing w:line="360" w:lineRule="auto"/>
        <w:ind w:left="2694" w:hanging="1843"/>
        <w:jc w:val="both"/>
        <w:rPr>
          <w:rFonts w:ascii="Arial" w:hAnsi="Arial" w:cs="Arial"/>
        </w:rPr>
      </w:pPr>
      <w:r>
        <w:rPr>
          <w:rFonts w:ascii="Arial" w:hAnsi="Arial" w:cs="Arial"/>
        </w:rPr>
        <w:t>2016/</w:t>
      </w:r>
      <w:r w:rsidR="004C1C84" w:rsidRPr="008165F9">
        <w:rPr>
          <w:rFonts w:ascii="Arial" w:hAnsi="Arial" w:cs="Arial"/>
        </w:rPr>
        <w:t>17</w:t>
      </w:r>
      <w:r w:rsidR="004C1C84" w:rsidRPr="008165F9">
        <w:rPr>
          <w:rFonts w:ascii="Arial" w:hAnsi="Arial" w:cs="Arial"/>
        </w:rPr>
        <w:tab/>
        <w:t>:</w:t>
      </w:r>
      <w:r w:rsidR="004C1C84" w:rsidRPr="008165F9">
        <w:rPr>
          <w:rFonts w:ascii="Arial" w:hAnsi="Arial" w:cs="Arial"/>
        </w:rPr>
        <w:tab/>
      </w:r>
      <w:r w:rsidR="00D1070F" w:rsidRPr="008165F9">
        <w:rPr>
          <w:rFonts w:ascii="Arial" w:hAnsi="Arial" w:cs="Arial"/>
        </w:rPr>
        <w:t xml:space="preserve">From </w:t>
      </w:r>
      <w:r w:rsidR="000F0D42" w:rsidRPr="008165F9">
        <w:rPr>
          <w:rFonts w:ascii="Arial" w:hAnsi="Arial" w:cs="Arial"/>
        </w:rPr>
        <w:t xml:space="preserve">the </w:t>
      </w:r>
      <w:r w:rsidR="001227BF" w:rsidRPr="008165F9">
        <w:rPr>
          <w:rFonts w:ascii="Arial" w:hAnsi="Arial" w:cs="Arial"/>
        </w:rPr>
        <w:t>t</w:t>
      </w:r>
      <w:r w:rsidR="000F0D42" w:rsidRPr="008165F9">
        <w:rPr>
          <w:rFonts w:ascii="Arial" w:hAnsi="Arial" w:cs="Arial"/>
        </w:rPr>
        <w:t xml:space="preserve">wo (2) cases finalised, </w:t>
      </w:r>
      <w:r w:rsidR="001227BF" w:rsidRPr="008165F9">
        <w:rPr>
          <w:rFonts w:ascii="Arial" w:hAnsi="Arial" w:cs="Arial"/>
        </w:rPr>
        <w:t>o</w:t>
      </w:r>
      <w:r w:rsidR="000F0D42" w:rsidRPr="008165F9">
        <w:rPr>
          <w:rFonts w:ascii="Arial" w:hAnsi="Arial" w:cs="Arial"/>
        </w:rPr>
        <w:t xml:space="preserve">ne (1) employee was found guilty and a sanction of </w:t>
      </w:r>
      <w:r w:rsidR="000F0D42" w:rsidRPr="008165F9">
        <w:rPr>
          <w:rFonts w:ascii="Arial" w:hAnsi="Arial" w:cs="Arial"/>
          <w:i/>
        </w:rPr>
        <w:t>Suspension without pay</w:t>
      </w:r>
      <w:r w:rsidR="000F0D42" w:rsidRPr="008165F9">
        <w:rPr>
          <w:rFonts w:ascii="Arial" w:hAnsi="Arial" w:cs="Arial"/>
        </w:rPr>
        <w:t xml:space="preserve"> </w:t>
      </w:r>
      <w:r w:rsidR="0063043D" w:rsidRPr="008165F9">
        <w:rPr>
          <w:rFonts w:ascii="Arial" w:hAnsi="Arial" w:cs="Arial"/>
        </w:rPr>
        <w:t>was imposed</w:t>
      </w:r>
      <w:r w:rsidR="0063043D">
        <w:rPr>
          <w:rFonts w:ascii="Arial" w:hAnsi="Arial" w:cs="Arial"/>
        </w:rPr>
        <w:t>,</w:t>
      </w:r>
      <w:r w:rsidR="0063043D" w:rsidRPr="008165F9">
        <w:rPr>
          <w:rFonts w:ascii="Arial" w:hAnsi="Arial" w:cs="Arial"/>
        </w:rPr>
        <w:t xml:space="preserve"> </w:t>
      </w:r>
      <w:r w:rsidR="000F0D42" w:rsidRPr="008165F9">
        <w:rPr>
          <w:rFonts w:ascii="Arial" w:hAnsi="Arial" w:cs="Arial"/>
        </w:rPr>
        <w:t xml:space="preserve">and </w:t>
      </w:r>
      <w:r w:rsidR="001227BF" w:rsidRPr="008165F9">
        <w:rPr>
          <w:rFonts w:ascii="Arial" w:hAnsi="Arial" w:cs="Arial"/>
        </w:rPr>
        <w:t>o</w:t>
      </w:r>
      <w:r w:rsidR="000F0D42" w:rsidRPr="008165F9">
        <w:rPr>
          <w:rFonts w:ascii="Arial" w:hAnsi="Arial" w:cs="Arial"/>
        </w:rPr>
        <w:t>ne (1) case was withdrawn</w:t>
      </w:r>
      <w:r w:rsidR="001227BF" w:rsidRPr="008165F9">
        <w:rPr>
          <w:rFonts w:ascii="Arial" w:hAnsi="Arial" w:cs="Arial"/>
        </w:rPr>
        <w:t>/closed due to a lack of evidence</w:t>
      </w:r>
      <w:r w:rsidR="000F0D42" w:rsidRPr="008165F9">
        <w:rPr>
          <w:rFonts w:ascii="Arial" w:hAnsi="Arial" w:cs="Arial"/>
        </w:rPr>
        <w:t xml:space="preserve"> - deemed closed and </w:t>
      </w:r>
      <w:r w:rsidR="001227BF" w:rsidRPr="008165F9">
        <w:rPr>
          <w:rFonts w:ascii="Arial" w:hAnsi="Arial" w:cs="Arial"/>
        </w:rPr>
        <w:t>finalised.</w:t>
      </w:r>
    </w:p>
    <w:p w:rsidR="00D03D1C" w:rsidRPr="008165F9" w:rsidRDefault="0063043D" w:rsidP="00EB2676">
      <w:pPr>
        <w:numPr>
          <w:ilvl w:val="0"/>
          <w:numId w:val="3"/>
        </w:numPr>
        <w:tabs>
          <w:tab w:val="left" w:pos="1134"/>
          <w:tab w:val="left" w:pos="3119"/>
        </w:tabs>
        <w:spacing w:line="360" w:lineRule="auto"/>
        <w:ind w:left="3402" w:hanging="2551"/>
        <w:jc w:val="both"/>
        <w:rPr>
          <w:rFonts w:ascii="Arial" w:hAnsi="Arial" w:cs="Arial"/>
        </w:rPr>
      </w:pPr>
      <w:r>
        <w:rPr>
          <w:rFonts w:ascii="Arial" w:hAnsi="Arial" w:cs="Arial"/>
        </w:rPr>
        <w:t>From 01 April 2017</w:t>
      </w:r>
      <w:r w:rsidR="004C1C84" w:rsidRPr="008165F9">
        <w:rPr>
          <w:rFonts w:ascii="Arial" w:hAnsi="Arial" w:cs="Arial"/>
        </w:rPr>
        <w:t>:</w:t>
      </w:r>
      <w:r w:rsidR="004C1C84" w:rsidRPr="008165F9">
        <w:rPr>
          <w:rFonts w:ascii="Arial" w:hAnsi="Arial" w:cs="Arial"/>
        </w:rPr>
        <w:tab/>
      </w:r>
      <w:r w:rsidR="004500F8" w:rsidRPr="008165F9">
        <w:rPr>
          <w:rFonts w:ascii="Arial" w:hAnsi="Arial" w:cs="Arial"/>
        </w:rPr>
        <w:t xml:space="preserve">Two (2) </w:t>
      </w:r>
      <w:r w:rsidR="000F0D42" w:rsidRPr="008165F9">
        <w:rPr>
          <w:rFonts w:ascii="Arial" w:hAnsi="Arial" w:cs="Arial"/>
        </w:rPr>
        <w:t xml:space="preserve">finalised </w:t>
      </w:r>
      <w:r w:rsidR="004C1C84" w:rsidRPr="008165F9">
        <w:rPr>
          <w:rFonts w:ascii="Arial" w:hAnsi="Arial" w:cs="Arial"/>
        </w:rPr>
        <w:t>cases</w:t>
      </w:r>
      <w:r w:rsidR="004500F8" w:rsidRPr="008165F9">
        <w:rPr>
          <w:rFonts w:ascii="Arial" w:hAnsi="Arial" w:cs="Arial"/>
        </w:rPr>
        <w:t xml:space="preserve"> were withdrawn</w:t>
      </w:r>
      <w:r w:rsidR="001227BF" w:rsidRPr="008165F9">
        <w:rPr>
          <w:rFonts w:ascii="Arial" w:hAnsi="Arial" w:cs="Arial"/>
        </w:rPr>
        <w:t xml:space="preserve">, as there was lack of cooperation by the one complainant and the other case was concluded informally </w:t>
      </w:r>
      <w:r w:rsidR="004500F8" w:rsidRPr="008165F9">
        <w:rPr>
          <w:rFonts w:ascii="Arial" w:hAnsi="Arial" w:cs="Arial"/>
        </w:rPr>
        <w:t>- deemed closed and finali</w:t>
      </w:r>
      <w:r w:rsidR="001227BF" w:rsidRPr="008165F9">
        <w:rPr>
          <w:rFonts w:ascii="Arial" w:hAnsi="Arial" w:cs="Arial"/>
        </w:rPr>
        <w:t>s</w:t>
      </w:r>
      <w:r w:rsidR="004500F8" w:rsidRPr="008165F9">
        <w:rPr>
          <w:rFonts w:ascii="Arial" w:hAnsi="Arial" w:cs="Arial"/>
        </w:rPr>
        <w:t>ed</w:t>
      </w:r>
      <w:r w:rsidR="001227BF" w:rsidRPr="008165F9">
        <w:rPr>
          <w:rFonts w:ascii="Arial" w:hAnsi="Arial" w:cs="Arial"/>
        </w:rPr>
        <w:t>.</w:t>
      </w:r>
    </w:p>
    <w:sectPr w:rsidR="00D03D1C" w:rsidRPr="008165F9" w:rsidSect="00D8545F">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F03" w:rsidRDefault="00843F03" w:rsidP="00913892">
      <w:r>
        <w:separator/>
      </w:r>
    </w:p>
  </w:endnote>
  <w:endnote w:type="continuationSeparator" w:id="0">
    <w:p w:rsidR="00843F03" w:rsidRDefault="00843F03"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87" w:rsidRDefault="00B56387">
    <w:pPr>
      <w:pStyle w:val="Footer"/>
      <w:pBdr>
        <w:top w:val="single" w:sz="4" w:space="1" w:color="D9D9D9"/>
      </w:pBdr>
      <w:rPr>
        <w:b/>
        <w:bCs/>
      </w:rPr>
    </w:pPr>
    <w:fldSimple w:instr=" PAGE   \* MERGEFORMAT ">
      <w:r w:rsidR="00843F03" w:rsidRPr="00843F03">
        <w:rPr>
          <w:b/>
          <w:bCs/>
          <w:noProof/>
        </w:rPr>
        <w:t>1</w:t>
      </w:r>
    </w:fldSimple>
    <w:r>
      <w:rPr>
        <w:b/>
        <w:bCs/>
      </w:rPr>
      <w:t xml:space="preserve"> | </w:t>
    </w:r>
    <w:r>
      <w:rPr>
        <w:color w:val="808080"/>
        <w:spacing w:val="60"/>
      </w:rPr>
      <w:t>Page</w:t>
    </w:r>
  </w:p>
  <w:p w:rsidR="00B56387" w:rsidRDefault="00B563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F03" w:rsidRDefault="00843F03" w:rsidP="00913892">
      <w:r>
        <w:separator/>
      </w:r>
    </w:p>
  </w:footnote>
  <w:footnote w:type="continuationSeparator" w:id="0">
    <w:p w:rsidR="00843F03" w:rsidRDefault="00843F03"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7D1"/>
    <w:multiLevelType w:val="hybridMultilevel"/>
    <w:tmpl w:val="01069E92"/>
    <w:lvl w:ilvl="0" w:tplc="ACEEADA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ED86ACB"/>
    <w:multiLevelType w:val="hybridMultilevel"/>
    <w:tmpl w:val="7E7E410A"/>
    <w:lvl w:ilvl="0" w:tplc="22DEE958">
      <w:start w:val="1"/>
      <w:numFmt w:val="lowerRoman"/>
      <w:lvlText w:val="(%1)"/>
      <w:lvlJc w:val="left"/>
      <w:pPr>
        <w:ind w:left="1713" w:hanging="72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
    <w:nsid w:val="1F483606"/>
    <w:multiLevelType w:val="hybridMultilevel"/>
    <w:tmpl w:val="5754A44A"/>
    <w:lvl w:ilvl="0" w:tplc="F67EEAE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6122DBA"/>
    <w:multiLevelType w:val="hybridMultilevel"/>
    <w:tmpl w:val="5E08D928"/>
    <w:lvl w:ilvl="0" w:tplc="74623CB6">
      <w:start w:val="1"/>
      <w:numFmt w:val="decimal"/>
      <w:lvlText w:val="(%1)"/>
      <w:lvlJc w:val="left"/>
      <w:pPr>
        <w:ind w:left="360" w:hanging="360"/>
      </w:pPr>
      <w:rPr>
        <w:rFonts w:cs="Times New Roman"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nsid w:val="3E285708"/>
    <w:multiLevelType w:val="hybridMultilevel"/>
    <w:tmpl w:val="1D42CFD6"/>
    <w:lvl w:ilvl="0" w:tplc="89B683A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2C5221B"/>
    <w:multiLevelType w:val="hybridMultilevel"/>
    <w:tmpl w:val="4502E71C"/>
    <w:lvl w:ilvl="0" w:tplc="1C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6552638"/>
    <w:multiLevelType w:val="hybridMultilevel"/>
    <w:tmpl w:val="F202B73A"/>
    <w:lvl w:ilvl="0" w:tplc="74623CB6">
      <w:start w:val="1"/>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96F1B21"/>
    <w:multiLevelType w:val="hybridMultilevel"/>
    <w:tmpl w:val="E04A3AB2"/>
    <w:lvl w:ilvl="0" w:tplc="04090001">
      <w:start w:val="1"/>
      <w:numFmt w:val="bullet"/>
      <w:lvlText w:val=""/>
      <w:lvlJc w:val="left"/>
      <w:pPr>
        <w:ind w:left="1823" w:hanging="360"/>
      </w:pPr>
      <w:rPr>
        <w:rFonts w:ascii="Symbol" w:hAnsi="Symbol" w:hint="default"/>
      </w:rPr>
    </w:lvl>
    <w:lvl w:ilvl="1" w:tplc="04090003" w:tentative="1">
      <w:start w:val="1"/>
      <w:numFmt w:val="bullet"/>
      <w:lvlText w:val="o"/>
      <w:lvlJc w:val="left"/>
      <w:pPr>
        <w:ind w:left="2543" w:hanging="360"/>
      </w:pPr>
      <w:rPr>
        <w:rFonts w:ascii="Courier New" w:hAnsi="Courier New" w:cs="Courier New" w:hint="default"/>
      </w:rPr>
    </w:lvl>
    <w:lvl w:ilvl="2" w:tplc="04090005" w:tentative="1">
      <w:start w:val="1"/>
      <w:numFmt w:val="bullet"/>
      <w:lvlText w:val=""/>
      <w:lvlJc w:val="left"/>
      <w:pPr>
        <w:ind w:left="3263" w:hanging="360"/>
      </w:pPr>
      <w:rPr>
        <w:rFonts w:ascii="Wingdings" w:hAnsi="Wingdings" w:hint="default"/>
      </w:rPr>
    </w:lvl>
    <w:lvl w:ilvl="3" w:tplc="04090001" w:tentative="1">
      <w:start w:val="1"/>
      <w:numFmt w:val="bullet"/>
      <w:lvlText w:val=""/>
      <w:lvlJc w:val="left"/>
      <w:pPr>
        <w:ind w:left="3983" w:hanging="360"/>
      </w:pPr>
      <w:rPr>
        <w:rFonts w:ascii="Symbol" w:hAnsi="Symbol" w:hint="default"/>
      </w:rPr>
    </w:lvl>
    <w:lvl w:ilvl="4" w:tplc="04090003" w:tentative="1">
      <w:start w:val="1"/>
      <w:numFmt w:val="bullet"/>
      <w:lvlText w:val="o"/>
      <w:lvlJc w:val="left"/>
      <w:pPr>
        <w:ind w:left="4703" w:hanging="360"/>
      </w:pPr>
      <w:rPr>
        <w:rFonts w:ascii="Courier New" w:hAnsi="Courier New" w:cs="Courier New" w:hint="default"/>
      </w:rPr>
    </w:lvl>
    <w:lvl w:ilvl="5" w:tplc="04090005" w:tentative="1">
      <w:start w:val="1"/>
      <w:numFmt w:val="bullet"/>
      <w:lvlText w:val=""/>
      <w:lvlJc w:val="left"/>
      <w:pPr>
        <w:ind w:left="5423" w:hanging="360"/>
      </w:pPr>
      <w:rPr>
        <w:rFonts w:ascii="Wingdings" w:hAnsi="Wingdings" w:hint="default"/>
      </w:rPr>
    </w:lvl>
    <w:lvl w:ilvl="6" w:tplc="04090001" w:tentative="1">
      <w:start w:val="1"/>
      <w:numFmt w:val="bullet"/>
      <w:lvlText w:val=""/>
      <w:lvlJc w:val="left"/>
      <w:pPr>
        <w:ind w:left="6143" w:hanging="360"/>
      </w:pPr>
      <w:rPr>
        <w:rFonts w:ascii="Symbol" w:hAnsi="Symbol" w:hint="default"/>
      </w:rPr>
    </w:lvl>
    <w:lvl w:ilvl="7" w:tplc="04090003" w:tentative="1">
      <w:start w:val="1"/>
      <w:numFmt w:val="bullet"/>
      <w:lvlText w:val="o"/>
      <w:lvlJc w:val="left"/>
      <w:pPr>
        <w:ind w:left="6863" w:hanging="360"/>
      </w:pPr>
      <w:rPr>
        <w:rFonts w:ascii="Courier New" w:hAnsi="Courier New" w:cs="Courier New" w:hint="default"/>
      </w:rPr>
    </w:lvl>
    <w:lvl w:ilvl="8" w:tplc="04090005" w:tentative="1">
      <w:start w:val="1"/>
      <w:numFmt w:val="bullet"/>
      <w:lvlText w:val=""/>
      <w:lvlJc w:val="left"/>
      <w:pPr>
        <w:ind w:left="7583" w:hanging="360"/>
      </w:pPr>
      <w:rPr>
        <w:rFonts w:ascii="Wingdings" w:hAnsi="Wingdings" w:hint="default"/>
      </w:rPr>
    </w:lvl>
  </w:abstractNum>
  <w:abstractNum w:abstractNumId="9">
    <w:nsid w:val="70070D15"/>
    <w:multiLevelType w:val="hybridMultilevel"/>
    <w:tmpl w:val="4502E71C"/>
    <w:lvl w:ilvl="0" w:tplc="1C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5"/>
  </w:num>
  <w:num w:numId="5">
    <w:abstractNumId w:val="7"/>
  </w:num>
  <w:num w:numId="6">
    <w:abstractNumId w:val="2"/>
  </w:num>
  <w:num w:numId="7">
    <w:abstractNumId w:val="1"/>
  </w:num>
  <w:num w:numId="8">
    <w:abstractNumId w:val="0"/>
  </w:num>
  <w:num w:numId="9">
    <w:abstractNumId w:val="6"/>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687B"/>
    <w:rsid w:val="0001435A"/>
    <w:rsid w:val="0001661F"/>
    <w:rsid w:val="00020B66"/>
    <w:rsid w:val="00026EC0"/>
    <w:rsid w:val="00030927"/>
    <w:rsid w:val="00031C13"/>
    <w:rsid w:val="0004105D"/>
    <w:rsid w:val="0004190C"/>
    <w:rsid w:val="00046588"/>
    <w:rsid w:val="00052CE2"/>
    <w:rsid w:val="00062125"/>
    <w:rsid w:val="00070401"/>
    <w:rsid w:val="000714BB"/>
    <w:rsid w:val="00072D0A"/>
    <w:rsid w:val="00072E1B"/>
    <w:rsid w:val="0007655F"/>
    <w:rsid w:val="00077B1E"/>
    <w:rsid w:val="000A3DA5"/>
    <w:rsid w:val="000C01D4"/>
    <w:rsid w:val="000D4F57"/>
    <w:rsid w:val="000D68A7"/>
    <w:rsid w:val="000E07E4"/>
    <w:rsid w:val="000E7085"/>
    <w:rsid w:val="000E76BA"/>
    <w:rsid w:val="000F0D42"/>
    <w:rsid w:val="000F6D79"/>
    <w:rsid w:val="00105174"/>
    <w:rsid w:val="00110B8F"/>
    <w:rsid w:val="00120775"/>
    <w:rsid w:val="001227BF"/>
    <w:rsid w:val="00134C16"/>
    <w:rsid w:val="001354F5"/>
    <w:rsid w:val="00144111"/>
    <w:rsid w:val="00156483"/>
    <w:rsid w:val="00165508"/>
    <w:rsid w:val="001702F2"/>
    <w:rsid w:val="001774BC"/>
    <w:rsid w:val="001848C4"/>
    <w:rsid w:val="00192D26"/>
    <w:rsid w:val="00194B05"/>
    <w:rsid w:val="001A4C02"/>
    <w:rsid w:val="001A6D2A"/>
    <w:rsid w:val="001B00F0"/>
    <w:rsid w:val="001B700B"/>
    <w:rsid w:val="001D2C73"/>
    <w:rsid w:val="001D2D3F"/>
    <w:rsid w:val="001E1BE7"/>
    <w:rsid w:val="001F445E"/>
    <w:rsid w:val="00203F6A"/>
    <w:rsid w:val="00204EA2"/>
    <w:rsid w:val="0020546E"/>
    <w:rsid w:val="00213182"/>
    <w:rsid w:val="00213488"/>
    <w:rsid w:val="0021549B"/>
    <w:rsid w:val="0024686D"/>
    <w:rsid w:val="00251A76"/>
    <w:rsid w:val="00254A0F"/>
    <w:rsid w:val="002857B6"/>
    <w:rsid w:val="00286311"/>
    <w:rsid w:val="002901F6"/>
    <w:rsid w:val="00291EF0"/>
    <w:rsid w:val="0029234D"/>
    <w:rsid w:val="002A0DB1"/>
    <w:rsid w:val="002B2B31"/>
    <w:rsid w:val="002B6D18"/>
    <w:rsid w:val="002C719B"/>
    <w:rsid w:val="002D5BF7"/>
    <w:rsid w:val="002D7BBD"/>
    <w:rsid w:val="002E7253"/>
    <w:rsid w:val="002F0095"/>
    <w:rsid w:val="002F74EA"/>
    <w:rsid w:val="0031150C"/>
    <w:rsid w:val="0031652F"/>
    <w:rsid w:val="00322BA4"/>
    <w:rsid w:val="00343B24"/>
    <w:rsid w:val="00346942"/>
    <w:rsid w:val="00360174"/>
    <w:rsid w:val="0037187E"/>
    <w:rsid w:val="003767D7"/>
    <w:rsid w:val="00381B64"/>
    <w:rsid w:val="00386CA6"/>
    <w:rsid w:val="003A07DD"/>
    <w:rsid w:val="003A64C5"/>
    <w:rsid w:val="003C43F4"/>
    <w:rsid w:val="003C4D22"/>
    <w:rsid w:val="003C5B62"/>
    <w:rsid w:val="003D2F6D"/>
    <w:rsid w:val="003D526D"/>
    <w:rsid w:val="003D6646"/>
    <w:rsid w:val="003E0CEE"/>
    <w:rsid w:val="003E6068"/>
    <w:rsid w:val="003F5064"/>
    <w:rsid w:val="003F6245"/>
    <w:rsid w:val="004031F8"/>
    <w:rsid w:val="00414119"/>
    <w:rsid w:val="004170BE"/>
    <w:rsid w:val="00417DB4"/>
    <w:rsid w:val="00422DF6"/>
    <w:rsid w:val="00431C9F"/>
    <w:rsid w:val="00433C19"/>
    <w:rsid w:val="00436057"/>
    <w:rsid w:val="00436842"/>
    <w:rsid w:val="004370EB"/>
    <w:rsid w:val="00440FFF"/>
    <w:rsid w:val="00441BD5"/>
    <w:rsid w:val="004453AC"/>
    <w:rsid w:val="004500F8"/>
    <w:rsid w:val="004572CE"/>
    <w:rsid w:val="00465448"/>
    <w:rsid w:val="00465A51"/>
    <w:rsid w:val="004A1397"/>
    <w:rsid w:val="004B6B6B"/>
    <w:rsid w:val="004C1C84"/>
    <w:rsid w:val="004D00D1"/>
    <w:rsid w:val="004E212A"/>
    <w:rsid w:val="004F6FEC"/>
    <w:rsid w:val="00513281"/>
    <w:rsid w:val="00515B6A"/>
    <w:rsid w:val="005160F8"/>
    <w:rsid w:val="0054211D"/>
    <w:rsid w:val="00572F09"/>
    <w:rsid w:val="005835BC"/>
    <w:rsid w:val="005856A7"/>
    <w:rsid w:val="00585897"/>
    <w:rsid w:val="005A60AD"/>
    <w:rsid w:val="005E365A"/>
    <w:rsid w:val="00612214"/>
    <w:rsid w:val="0062002F"/>
    <w:rsid w:val="00625CD7"/>
    <w:rsid w:val="0063043D"/>
    <w:rsid w:val="00630932"/>
    <w:rsid w:val="00635C5D"/>
    <w:rsid w:val="00635F26"/>
    <w:rsid w:val="006364F1"/>
    <w:rsid w:val="006425C0"/>
    <w:rsid w:val="00653FE5"/>
    <w:rsid w:val="00670788"/>
    <w:rsid w:val="0067545A"/>
    <w:rsid w:val="006959E4"/>
    <w:rsid w:val="006B0101"/>
    <w:rsid w:val="006B0F80"/>
    <w:rsid w:val="006C0567"/>
    <w:rsid w:val="006D21F9"/>
    <w:rsid w:val="006D7E71"/>
    <w:rsid w:val="006E525A"/>
    <w:rsid w:val="006F2454"/>
    <w:rsid w:val="006F63D7"/>
    <w:rsid w:val="007044F8"/>
    <w:rsid w:val="00717B47"/>
    <w:rsid w:val="00720D4C"/>
    <w:rsid w:val="00724689"/>
    <w:rsid w:val="007261FA"/>
    <w:rsid w:val="00740A5A"/>
    <w:rsid w:val="00745638"/>
    <w:rsid w:val="007540CF"/>
    <w:rsid w:val="00755C22"/>
    <w:rsid w:val="00756DD1"/>
    <w:rsid w:val="00757E02"/>
    <w:rsid w:val="00760BFE"/>
    <w:rsid w:val="00765EB5"/>
    <w:rsid w:val="00772E4E"/>
    <w:rsid w:val="00777A77"/>
    <w:rsid w:val="00780722"/>
    <w:rsid w:val="0078425B"/>
    <w:rsid w:val="00786804"/>
    <w:rsid w:val="00791471"/>
    <w:rsid w:val="007961D4"/>
    <w:rsid w:val="007C0AC3"/>
    <w:rsid w:val="007E7201"/>
    <w:rsid w:val="007E76BC"/>
    <w:rsid w:val="007F2B0B"/>
    <w:rsid w:val="00807BED"/>
    <w:rsid w:val="0081496D"/>
    <w:rsid w:val="008165F9"/>
    <w:rsid w:val="008419E9"/>
    <w:rsid w:val="00843F03"/>
    <w:rsid w:val="00846897"/>
    <w:rsid w:val="00850C4F"/>
    <w:rsid w:val="00865132"/>
    <w:rsid w:val="00870846"/>
    <w:rsid w:val="008769EF"/>
    <w:rsid w:val="00881381"/>
    <w:rsid w:val="00892846"/>
    <w:rsid w:val="008A1398"/>
    <w:rsid w:val="008A1837"/>
    <w:rsid w:val="008A388E"/>
    <w:rsid w:val="008B7ED3"/>
    <w:rsid w:val="008C0966"/>
    <w:rsid w:val="008C1A56"/>
    <w:rsid w:val="008C7422"/>
    <w:rsid w:val="008D4373"/>
    <w:rsid w:val="008D5849"/>
    <w:rsid w:val="008E312C"/>
    <w:rsid w:val="008E78E6"/>
    <w:rsid w:val="008F6A5A"/>
    <w:rsid w:val="009025C1"/>
    <w:rsid w:val="00905C38"/>
    <w:rsid w:val="00907DBA"/>
    <w:rsid w:val="00912CA8"/>
    <w:rsid w:val="00913892"/>
    <w:rsid w:val="0092193B"/>
    <w:rsid w:val="009229AD"/>
    <w:rsid w:val="0094372F"/>
    <w:rsid w:val="009541F2"/>
    <w:rsid w:val="00954A6C"/>
    <w:rsid w:val="009551F2"/>
    <w:rsid w:val="00973033"/>
    <w:rsid w:val="00983C6B"/>
    <w:rsid w:val="00985921"/>
    <w:rsid w:val="009868D6"/>
    <w:rsid w:val="00995362"/>
    <w:rsid w:val="009A755B"/>
    <w:rsid w:val="009B0CAB"/>
    <w:rsid w:val="009D4F78"/>
    <w:rsid w:val="009E0268"/>
    <w:rsid w:val="009E1C96"/>
    <w:rsid w:val="009F1B70"/>
    <w:rsid w:val="009F2D5C"/>
    <w:rsid w:val="00A0184C"/>
    <w:rsid w:val="00A057D9"/>
    <w:rsid w:val="00A1417F"/>
    <w:rsid w:val="00A16F58"/>
    <w:rsid w:val="00A339A1"/>
    <w:rsid w:val="00A42301"/>
    <w:rsid w:val="00A4711C"/>
    <w:rsid w:val="00A51CE5"/>
    <w:rsid w:val="00A54B42"/>
    <w:rsid w:val="00A64328"/>
    <w:rsid w:val="00A6432A"/>
    <w:rsid w:val="00A66729"/>
    <w:rsid w:val="00A7136B"/>
    <w:rsid w:val="00A9152D"/>
    <w:rsid w:val="00AA2AB0"/>
    <w:rsid w:val="00AA32D3"/>
    <w:rsid w:val="00AA39AC"/>
    <w:rsid w:val="00AA53F2"/>
    <w:rsid w:val="00AB56C3"/>
    <w:rsid w:val="00AD7B7A"/>
    <w:rsid w:val="00AF5D91"/>
    <w:rsid w:val="00B0324E"/>
    <w:rsid w:val="00B13369"/>
    <w:rsid w:val="00B170EA"/>
    <w:rsid w:val="00B172B8"/>
    <w:rsid w:val="00B26AB3"/>
    <w:rsid w:val="00B366DC"/>
    <w:rsid w:val="00B40A2F"/>
    <w:rsid w:val="00B46E62"/>
    <w:rsid w:val="00B5021D"/>
    <w:rsid w:val="00B553A6"/>
    <w:rsid w:val="00B56387"/>
    <w:rsid w:val="00B719D2"/>
    <w:rsid w:val="00B8345D"/>
    <w:rsid w:val="00B86914"/>
    <w:rsid w:val="00B958BA"/>
    <w:rsid w:val="00BA3361"/>
    <w:rsid w:val="00BA3A67"/>
    <w:rsid w:val="00BA61AF"/>
    <w:rsid w:val="00BB53A8"/>
    <w:rsid w:val="00BC7AFB"/>
    <w:rsid w:val="00BD6D36"/>
    <w:rsid w:val="00BF0672"/>
    <w:rsid w:val="00BF0809"/>
    <w:rsid w:val="00BF738D"/>
    <w:rsid w:val="00C15423"/>
    <w:rsid w:val="00C31057"/>
    <w:rsid w:val="00C331B7"/>
    <w:rsid w:val="00C360AA"/>
    <w:rsid w:val="00C3772F"/>
    <w:rsid w:val="00C41A50"/>
    <w:rsid w:val="00C42EFF"/>
    <w:rsid w:val="00C75ACC"/>
    <w:rsid w:val="00C770B6"/>
    <w:rsid w:val="00C819F7"/>
    <w:rsid w:val="00C8589D"/>
    <w:rsid w:val="00C90886"/>
    <w:rsid w:val="00C91EEC"/>
    <w:rsid w:val="00C95CF7"/>
    <w:rsid w:val="00C95F59"/>
    <w:rsid w:val="00CA206E"/>
    <w:rsid w:val="00CA6B84"/>
    <w:rsid w:val="00CB3111"/>
    <w:rsid w:val="00CC11CC"/>
    <w:rsid w:val="00CC239F"/>
    <w:rsid w:val="00CD042D"/>
    <w:rsid w:val="00CD0F1E"/>
    <w:rsid w:val="00CD3DB4"/>
    <w:rsid w:val="00CD4D18"/>
    <w:rsid w:val="00CE0598"/>
    <w:rsid w:val="00CF1B81"/>
    <w:rsid w:val="00D03D1C"/>
    <w:rsid w:val="00D1070F"/>
    <w:rsid w:val="00D209A0"/>
    <w:rsid w:val="00D222F0"/>
    <w:rsid w:val="00D24750"/>
    <w:rsid w:val="00D27F02"/>
    <w:rsid w:val="00D3067D"/>
    <w:rsid w:val="00D463C8"/>
    <w:rsid w:val="00D46723"/>
    <w:rsid w:val="00D47730"/>
    <w:rsid w:val="00D50C5D"/>
    <w:rsid w:val="00D56B43"/>
    <w:rsid w:val="00D63BA3"/>
    <w:rsid w:val="00D74CDB"/>
    <w:rsid w:val="00D764A0"/>
    <w:rsid w:val="00D76DA7"/>
    <w:rsid w:val="00D80139"/>
    <w:rsid w:val="00D8545F"/>
    <w:rsid w:val="00D86E52"/>
    <w:rsid w:val="00D93903"/>
    <w:rsid w:val="00DA495F"/>
    <w:rsid w:val="00DB11B2"/>
    <w:rsid w:val="00DC255C"/>
    <w:rsid w:val="00DC592F"/>
    <w:rsid w:val="00DC7CDA"/>
    <w:rsid w:val="00DE1284"/>
    <w:rsid w:val="00DE70DB"/>
    <w:rsid w:val="00DE7227"/>
    <w:rsid w:val="00DF2638"/>
    <w:rsid w:val="00E1080E"/>
    <w:rsid w:val="00E117FE"/>
    <w:rsid w:val="00E17F42"/>
    <w:rsid w:val="00E2677E"/>
    <w:rsid w:val="00E4135D"/>
    <w:rsid w:val="00E44AFC"/>
    <w:rsid w:val="00E55AFD"/>
    <w:rsid w:val="00E92863"/>
    <w:rsid w:val="00EA4D5C"/>
    <w:rsid w:val="00EA53D2"/>
    <w:rsid w:val="00EA6851"/>
    <w:rsid w:val="00EA7A64"/>
    <w:rsid w:val="00EB2676"/>
    <w:rsid w:val="00EB54FA"/>
    <w:rsid w:val="00EC5379"/>
    <w:rsid w:val="00ED5CF6"/>
    <w:rsid w:val="00EE1177"/>
    <w:rsid w:val="00EF081C"/>
    <w:rsid w:val="00EF32C9"/>
    <w:rsid w:val="00F20EAD"/>
    <w:rsid w:val="00F220CD"/>
    <w:rsid w:val="00F26B86"/>
    <w:rsid w:val="00F31805"/>
    <w:rsid w:val="00F36003"/>
    <w:rsid w:val="00F475A6"/>
    <w:rsid w:val="00F55893"/>
    <w:rsid w:val="00F61CE2"/>
    <w:rsid w:val="00F63F57"/>
    <w:rsid w:val="00F646C9"/>
    <w:rsid w:val="00F739F4"/>
    <w:rsid w:val="00F845F2"/>
    <w:rsid w:val="00F86709"/>
    <w:rsid w:val="00F91926"/>
    <w:rsid w:val="00F91DFF"/>
    <w:rsid w:val="00F95D9E"/>
    <w:rsid w:val="00FA26A6"/>
    <w:rsid w:val="00FA4D8E"/>
    <w:rsid w:val="00FA74A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30"/>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8125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2018-03-23T11:14:00Z</cp:lastPrinted>
  <dcterms:created xsi:type="dcterms:W3CDTF">2018-04-03T12:10:00Z</dcterms:created>
  <dcterms:modified xsi:type="dcterms:W3CDTF">2018-04-03T12:10:00Z</dcterms:modified>
</cp:coreProperties>
</file>