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24" w:rsidRDefault="00262E24" w:rsidP="00B905A6">
      <w:pPr>
        <w:tabs>
          <w:tab w:val="left" w:pos="432"/>
          <w:tab w:val="left" w:pos="864"/>
        </w:tabs>
        <w:spacing w:before="100" w:beforeAutospacing="1" w:line="276" w:lineRule="auto"/>
        <w:jc w:val="center"/>
        <w:rPr>
          <w:rFonts w:ascii="Arial" w:hAnsi="Arial" w:cs="Arial"/>
          <w:b/>
          <w:sz w:val="22"/>
          <w:szCs w:val="22"/>
        </w:rPr>
      </w:pPr>
      <w:r>
        <w:rPr>
          <w:rFonts w:ascii="Arial" w:hAnsi="Arial" w:cs="Arial"/>
          <w:b/>
          <w:noProof/>
          <w:sz w:val="22"/>
          <w:szCs w:val="22"/>
          <w:lang w:val="en-US"/>
        </w:rPr>
        <w:drawing>
          <wp:inline distT="0" distB="0" distL="0" distR="0" wp14:anchorId="7255078B">
            <wp:extent cx="1390015" cy="1469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1433AE" w:rsidRPr="00B905A6" w:rsidRDefault="003B5D8E" w:rsidP="00B905A6">
      <w:pPr>
        <w:tabs>
          <w:tab w:val="left" w:pos="432"/>
          <w:tab w:val="left" w:pos="864"/>
        </w:tabs>
        <w:spacing w:before="100" w:beforeAutospacing="1" w:line="276" w:lineRule="auto"/>
        <w:jc w:val="center"/>
        <w:rPr>
          <w:rFonts w:ascii="Arial" w:hAnsi="Arial" w:cs="Arial"/>
          <w:b/>
          <w:sz w:val="22"/>
          <w:szCs w:val="22"/>
        </w:rPr>
      </w:pPr>
      <w:r w:rsidRPr="00B905A6">
        <w:rPr>
          <w:rFonts w:ascii="Arial" w:hAnsi="Arial" w:cs="Arial"/>
          <w:b/>
          <w:sz w:val="22"/>
          <w:szCs w:val="22"/>
        </w:rPr>
        <w:t>NATIONAL ASSEMBLY</w:t>
      </w:r>
    </w:p>
    <w:p w:rsidR="001433AE" w:rsidRPr="00B905A6" w:rsidRDefault="003B5D8E" w:rsidP="00B905A6">
      <w:pPr>
        <w:tabs>
          <w:tab w:val="left" w:pos="432"/>
          <w:tab w:val="left" w:pos="864"/>
        </w:tabs>
        <w:spacing w:before="100" w:beforeAutospacing="1" w:line="276" w:lineRule="auto"/>
        <w:ind w:left="720" w:hanging="720"/>
        <w:jc w:val="center"/>
        <w:rPr>
          <w:rFonts w:ascii="Arial" w:hAnsi="Arial" w:cs="Arial"/>
          <w:b/>
          <w:sz w:val="22"/>
          <w:szCs w:val="22"/>
        </w:rPr>
      </w:pPr>
      <w:r w:rsidRPr="00B905A6">
        <w:rPr>
          <w:rFonts w:ascii="Arial" w:hAnsi="Arial" w:cs="Arial"/>
          <w:b/>
          <w:sz w:val="22"/>
          <w:szCs w:val="22"/>
        </w:rPr>
        <w:t>QUESTION FOR WRITTEN REPLY</w:t>
      </w:r>
    </w:p>
    <w:p w:rsidR="001433AE" w:rsidRPr="001E515B" w:rsidRDefault="00A959A6" w:rsidP="00B905A6">
      <w:pPr>
        <w:tabs>
          <w:tab w:val="left" w:pos="432"/>
          <w:tab w:val="left" w:pos="864"/>
        </w:tabs>
        <w:spacing w:before="100" w:beforeAutospacing="1" w:line="276" w:lineRule="auto"/>
        <w:ind w:left="720" w:hanging="720"/>
        <w:jc w:val="center"/>
        <w:rPr>
          <w:rFonts w:ascii="Arial" w:hAnsi="Arial" w:cs="Arial"/>
          <w:b/>
          <w:sz w:val="22"/>
          <w:szCs w:val="22"/>
        </w:rPr>
      </w:pPr>
      <w:r w:rsidRPr="001E515B">
        <w:rPr>
          <w:rFonts w:ascii="Arial" w:hAnsi="Arial" w:cs="Arial"/>
          <w:b/>
          <w:sz w:val="22"/>
          <w:szCs w:val="22"/>
        </w:rPr>
        <w:t xml:space="preserve">QUESTION NUMBER: </w:t>
      </w:r>
      <w:r w:rsidR="001E515B" w:rsidRPr="001E515B">
        <w:rPr>
          <w:rFonts w:ascii="Arial" w:hAnsi="Arial" w:cs="Arial"/>
          <w:b/>
          <w:sz w:val="22"/>
          <w:szCs w:val="22"/>
        </w:rPr>
        <w:t>714</w:t>
      </w:r>
      <w:r w:rsidR="008A6F4F" w:rsidRPr="001E515B">
        <w:rPr>
          <w:rFonts w:ascii="Arial" w:hAnsi="Arial" w:cs="Arial"/>
          <w:b/>
          <w:sz w:val="22"/>
          <w:szCs w:val="22"/>
        </w:rPr>
        <w:t xml:space="preserve"> [NW</w:t>
      </w:r>
      <w:r w:rsidR="001E515B" w:rsidRPr="001E515B">
        <w:rPr>
          <w:rFonts w:ascii="Arial" w:hAnsi="Arial" w:cs="Arial"/>
          <w:b/>
          <w:sz w:val="22"/>
          <w:szCs w:val="22"/>
        </w:rPr>
        <w:t>773</w:t>
      </w:r>
      <w:r w:rsidR="008A6F4F" w:rsidRPr="001E515B">
        <w:rPr>
          <w:rFonts w:ascii="Arial" w:hAnsi="Arial" w:cs="Arial"/>
          <w:b/>
          <w:sz w:val="22"/>
          <w:szCs w:val="22"/>
        </w:rPr>
        <w:t>E]</w:t>
      </w:r>
    </w:p>
    <w:p w:rsidR="001433AE" w:rsidRPr="001E515B" w:rsidRDefault="003B5D8E" w:rsidP="00B905A6">
      <w:pPr>
        <w:pStyle w:val="Heading1"/>
        <w:spacing w:line="276" w:lineRule="auto"/>
        <w:ind w:hanging="720"/>
        <w:rPr>
          <w:rFonts w:ascii="Arial" w:hAnsi="Arial" w:cs="Arial"/>
          <w:sz w:val="22"/>
          <w:szCs w:val="22"/>
        </w:rPr>
      </w:pPr>
      <w:r w:rsidRPr="001E515B">
        <w:rPr>
          <w:rFonts w:ascii="Arial" w:hAnsi="Arial" w:cs="Arial"/>
          <w:sz w:val="22"/>
          <w:szCs w:val="22"/>
        </w:rPr>
        <w:t>D</w:t>
      </w:r>
      <w:r w:rsidR="00A959A6" w:rsidRPr="001E515B">
        <w:rPr>
          <w:rFonts w:ascii="Arial" w:hAnsi="Arial" w:cs="Arial"/>
          <w:sz w:val="22"/>
          <w:szCs w:val="22"/>
        </w:rPr>
        <w:t xml:space="preserve">ATE OF PUBLICATION:  </w:t>
      </w:r>
      <w:r w:rsidR="001E515B" w:rsidRPr="001E515B">
        <w:rPr>
          <w:rFonts w:ascii="Arial" w:hAnsi="Arial" w:cs="Arial"/>
          <w:sz w:val="22"/>
          <w:szCs w:val="22"/>
        </w:rPr>
        <w:t>17 MARCH 2017</w:t>
      </w:r>
    </w:p>
    <w:p w:rsidR="001E515B" w:rsidRPr="001E515B" w:rsidRDefault="001E515B" w:rsidP="001E515B">
      <w:pPr>
        <w:spacing w:before="100" w:beforeAutospacing="1" w:after="100" w:afterAutospacing="1" w:line="276" w:lineRule="auto"/>
        <w:ind w:left="720" w:hanging="720"/>
        <w:jc w:val="both"/>
        <w:rPr>
          <w:rFonts w:ascii="Arial" w:eastAsia="Calibri" w:hAnsi="Arial" w:cs="Arial"/>
          <w:b/>
          <w:sz w:val="22"/>
          <w:szCs w:val="22"/>
          <w:lang w:val="en-ZA"/>
        </w:rPr>
      </w:pPr>
      <w:r w:rsidRPr="001E515B">
        <w:rPr>
          <w:rFonts w:ascii="Arial" w:eastAsia="Calibri" w:hAnsi="Arial" w:cs="Arial"/>
          <w:b/>
          <w:sz w:val="22"/>
          <w:szCs w:val="22"/>
          <w:lang w:val="en-ZA"/>
        </w:rPr>
        <w:t>714.</w:t>
      </w:r>
      <w:r w:rsidRPr="001E515B">
        <w:rPr>
          <w:rFonts w:ascii="Arial" w:eastAsia="Calibri" w:hAnsi="Arial" w:cs="Arial"/>
          <w:b/>
          <w:sz w:val="22"/>
          <w:szCs w:val="22"/>
          <w:lang w:val="en-ZA"/>
        </w:rPr>
        <w:tab/>
      </w:r>
      <w:proofErr w:type="spellStart"/>
      <w:r w:rsidRPr="001E515B">
        <w:rPr>
          <w:rFonts w:ascii="Arial" w:eastAsia="Calibri" w:hAnsi="Arial" w:cs="Arial"/>
          <w:b/>
          <w:sz w:val="22"/>
          <w:szCs w:val="22"/>
          <w:lang w:val="en-ZA"/>
        </w:rPr>
        <w:t>Adv</w:t>
      </w:r>
      <w:proofErr w:type="spellEnd"/>
      <w:r w:rsidRPr="001E515B">
        <w:rPr>
          <w:rFonts w:ascii="Arial" w:eastAsia="Calibri" w:hAnsi="Arial" w:cs="Arial"/>
          <w:b/>
          <w:sz w:val="22"/>
          <w:szCs w:val="22"/>
          <w:lang w:val="en-ZA"/>
        </w:rPr>
        <w:t xml:space="preserve"> A de W Alberts (FF Plus) to ask the Minister of Finance:</w:t>
      </w:r>
    </w:p>
    <w:p w:rsidR="001E515B" w:rsidRPr="001E515B" w:rsidRDefault="001E515B" w:rsidP="001E515B">
      <w:pPr>
        <w:spacing w:before="100" w:beforeAutospacing="1" w:after="100" w:afterAutospacing="1" w:line="276" w:lineRule="auto"/>
        <w:ind w:left="1440" w:hanging="720"/>
        <w:jc w:val="both"/>
        <w:rPr>
          <w:rFonts w:ascii="Arial" w:eastAsia="Calibri" w:hAnsi="Arial" w:cs="Arial"/>
          <w:sz w:val="22"/>
          <w:szCs w:val="22"/>
          <w:lang w:val="af-ZA"/>
        </w:rPr>
      </w:pPr>
      <w:r w:rsidRPr="001E515B">
        <w:rPr>
          <w:rFonts w:ascii="Arial" w:eastAsia="Calibri" w:hAnsi="Arial" w:cs="Arial"/>
          <w:sz w:val="22"/>
          <w:szCs w:val="22"/>
          <w:lang w:val="en-ZA"/>
        </w:rPr>
        <w:t>(1)</w:t>
      </w:r>
      <w:r w:rsidRPr="001E515B">
        <w:rPr>
          <w:rFonts w:ascii="Arial" w:eastAsia="Calibri" w:hAnsi="Arial" w:cs="Arial"/>
          <w:sz w:val="22"/>
          <w:szCs w:val="22"/>
          <w:lang w:val="en-ZA"/>
        </w:rPr>
        <w:tab/>
        <w:t>With reference to point</w:t>
      </w:r>
      <w:r w:rsidRPr="001E515B">
        <w:rPr>
          <w:rFonts w:ascii="Arial" w:eastAsia="Calibri" w:hAnsi="Arial" w:cs="Arial"/>
          <w:sz w:val="22"/>
          <w:szCs w:val="22"/>
          <w:lang w:val="af-ZA"/>
        </w:rPr>
        <w:t xml:space="preserve"> 5 of his reply to question 2375 on 30 November 2016, (a) on what date and (b) how did the Public Investment Corporation violate the Strategic Asset Allocation owing to the movement of the markets in each separate case;</w:t>
      </w:r>
    </w:p>
    <w:p w:rsidR="001E515B" w:rsidRPr="001E515B" w:rsidRDefault="001E515B" w:rsidP="001E515B">
      <w:pPr>
        <w:tabs>
          <w:tab w:val="left" w:pos="432"/>
          <w:tab w:val="left" w:pos="864"/>
        </w:tabs>
        <w:spacing w:line="276" w:lineRule="auto"/>
        <w:ind w:left="1440" w:hanging="720"/>
        <w:rPr>
          <w:rFonts w:ascii="Arial" w:eastAsia="Calibri" w:hAnsi="Arial" w:cs="Arial"/>
          <w:sz w:val="22"/>
          <w:szCs w:val="22"/>
          <w:lang w:val="en-ZA"/>
        </w:rPr>
      </w:pPr>
      <w:r w:rsidRPr="001E515B">
        <w:rPr>
          <w:rFonts w:ascii="Arial" w:eastAsia="Calibri" w:hAnsi="Arial" w:cs="Arial"/>
          <w:sz w:val="22"/>
          <w:szCs w:val="22"/>
          <w:lang w:val="af-ZA"/>
        </w:rPr>
        <w:t>(2)</w:t>
      </w:r>
      <w:r w:rsidRPr="001E515B">
        <w:rPr>
          <w:rFonts w:ascii="Arial" w:eastAsia="Calibri" w:hAnsi="Arial" w:cs="Arial"/>
          <w:sz w:val="22"/>
          <w:szCs w:val="22"/>
          <w:lang w:val="af-ZA"/>
        </w:rPr>
        <w:tab/>
        <w:t xml:space="preserve">whether the Investment Committee of the Government Employees Pension Fund was informed in </w:t>
      </w:r>
      <w:r w:rsidRPr="001E515B">
        <w:rPr>
          <w:rFonts w:ascii="Arial" w:eastAsia="Calibri" w:hAnsi="Arial" w:cs="Arial"/>
          <w:bCs/>
          <w:sz w:val="22"/>
          <w:szCs w:val="22"/>
          <w:lang w:val="en-ZA"/>
        </w:rPr>
        <w:t>each</w:t>
      </w:r>
      <w:r w:rsidRPr="001E515B">
        <w:rPr>
          <w:rFonts w:ascii="Arial" w:eastAsia="Calibri" w:hAnsi="Arial" w:cs="Arial"/>
          <w:sz w:val="22"/>
          <w:szCs w:val="22"/>
          <w:lang w:val="af-ZA"/>
        </w:rPr>
        <w:t xml:space="preserve"> individual case regarding the violation and (a) condoned and/or (b) rectified it in each separate case?</w:t>
      </w:r>
      <w:r w:rsidRPr="001E515B">
        <w:rPr>
          <w:rFonts w:ascii="Arial" w:eastAsia="Calibri" w:hAnsi="Arial" w:cs="Arial"/>
          <w:sz w:val="22"/>
          <w:szCs w:val="22"/>
          <w:lang w:val="en-ZA"/>
        </w:rPr>
        <w:tab/>
      </w:r>
    </w:p>
    <w:p w:rsidR="001433AE" w:rsidRPr="001E515B" w:rsidRDefault="001E515B" w:rsidP="001E515B">
      <w:pPr>
        <w:tabs>
          <w:tab w:val="left" w:pos="432"/>
          <w:tab w:val="left" w:pos="864"/>
        </w:tabs>
        <w:spacing w:line="276" w:lineRule="auto"/>
        <w:ind w:left="1440" w:hanging="720"/>
        <w:rPr>
          <w:rFonts w:ascii="Arial" w:hAnsi="Arial" w:cs="Arial"/>
          <w:b/>
          <w:sz w:val="22"/>
          <w:szCs w:val="22"/>
        </w:rPr>
      </w:pP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r>
      <w:r w:rsidRPr="001E515B">
        <w:rPr>
          <w:rFonts w:ascii="Arial" w:eastAsia="Calibri" w:hAnsi="Arial" w:cs="Arial"/>
          <w:sz w:val="22"/>
          <w:szCs w:val="22"/>
          <w:lang w:val="en-ZA"/>
        </w:rPr>
        <w:tab/>
        <w:t>NW773E</w:t>
      </w:r>
    </w:p>
    <w:p w:rsidR="001433AE" w:rsidRDefault="00E07A06" w:rsidP="00B905A6">
      <w:pPr>
        <w:spacing w:before="100" w:beforeAutospacing="1" w:after="100" w:afterAutospacing="1" w:line="276" w:lineRule="auto"/>
        <w:jc w:val="both"/>
        <w:rPr>
          <w:rFonts w:ascii="Arial" w:hAnsi="Arial" w:cs="Arial"/>
          <w:b/>
          <w:sz w:val="22"/>
          <w:szCs w:val="22"/>
        </w:rPr>
      </w:pPr>
      <w:r>
        <w:rPr>
          <w:rFonts w:ascii="Arial" w:hAnsi="Arial" w:cs="Arial"/>
          <w:b/>
          <w:sz w:val="22"/>
          <w:szCs w:val="22"/>
        </w:rPr>
        <w:t>REPLY BY THE PUBLIC INVESTMENT CORPORATION:</w:t>
      </w:r>
    </w:p>
    <w:p w:rsidR="00B35D0F" w:rsidRDefault="00E07A06" w:rsidP="00467691">
      <w:pPr>
        <w:spacing w:line="276" w:lineRule="auto"/>
        <w:ind w:left="2160" w:hanging="1440"/>
        <w:jc w:val="both"/>
        <w:rPr>
          <w:rFonts w:ascii="Arial" w:hAnsi="Arial" w:cs="Arial"/>
          <w:sz w:val="22"/>
          <w:szCs w:val="22"/>
        </w:rPr>
      </w:pPr>
      <w:r>
        <w:rPr>
          <w:rFonts w:ascii="Arial" w:hAnsi="Arial" w:cs="Arial"/>
          <w:sz w:val="22"/>
          <w:szCs w:val="22"/>
        </w:rPr>
        <w:t>(1)</w:t>
      </w:r>
      <w:r w:rsidR="00C11C44">
        <w:rPr>
          <w:rFonts w:ascii="Arial" w:hAnsi="Arial" w:cs="Arial"/>
          <w:sz w:val="22"/>
          <w:szCs w:val="22"/>
        </w:rPr>
        <w:t xml:space="preserve">(a) </w:t>
      </w:r>
      <w:proofErr w:type="gramStart"/>
      <w:r w:rsidR="00C11C44">
        <w:rPr>
          <w:rFonts w:ascii="Arial" w:hAnsi="Arial" w:cs="Arial"/>
          <w:sz w:val="22"/>
          <w:szCs w:val="22"/>
        </w:rPr>
        <w:t>and</w:t>
      </w:r>
      <w:proofErr w:type="gramEnd"/>
      <w:r w:rsidR="00C11C44">
        <w:rPr>
          <w:rFonts w:ascii="Arial" w:hAnsi="Arial" w:cs="Arial"/>
          <w:sz w:val="22"/>
          <w:szCs w:val="22"/>
        </w:rPr>
        <w:t xml:space="preserve"> (b)</w:t>
      </w:r>
      <w:r>
        <w:rPr>
          <w:rFonts w:ascii="Arial" w:hAnsi="Arial" w:cs="Arial"/>
          <w:sz w:val="22"/>
          <w:szCs w:val="22"/>
        </w:rPr>
        <w:tab/>
      </w:r>
      <w:r w:rsidR="008E6E50">
        <w:rPr>
          <w:rFonts w:ascii="Arial" w:hAnsi="Arial" w:cs="Arial"/>
          <w:sz w:val="22"/>
          <w:szCs w:val="22"/>
        </w:rPr>
        <w:t xml:space="preserve">At the outset it should be stated that any changes in the Government Employees Pension Fund’s (GEPF) Strategic Asset Allocation (SAA) cannot be implemented in a short period of time due to the size of the GEPF Portfolio.  It is also for this reason that PIC clients provide the PIC with </w:t>
      </w:r>
      <w:r w:rsidR="00B35D0F">
        <w:rPr>
          <w:rFonts w:ascii="Arial" w:hAnsi="Arial" w:cs="Arial"/>
          <w:sz w:val="22"/>
          <w:szCs w:val="22"/>
        </w:rPr>
        <w:t xml:space="preserve">transition benchmarks, which are more dynamic benchmarks that reflect the SAA over a shorter term and are used during the period of transitioning a portfolio following mandate changes and changes in the SAA.  </w:t>
      </w:r>
    </w:p>
    <w:p w:rsidR="00B35D0F" w:rsidRDefault="00B35D0F" w:rsidP="00B35D0F">
      <w:pPr>
        <w:spacing w:line="276" w:lineRule="auto"/>
        <w:ind w:left="2160"/>
        <w:jc w:val="both"/>
        <w:rPr>
          <w:rFonts w:ascii="Arial" w:hAnsi="Arial" w:cs="Arial"/>
          <w:sz w:val="22"/>
          <w:szCs w:val="22"/>
        </w:rPr>
      </w:pPr>
    </w:p>
    <w:p w:rsidR="00467691" w:rsidRDefault="00B35D0F" w:rsidP="00B35D0F">
      <w:pPr>
        <w:spacing w:line="276" w:lineRule="auto"/>
        <w:ind w:left="2160"/>
        <w:jc w:val="both"/>
        <w:rPr>
          <w:rFonts w:ascii="Arial" w:hAnsi="Arial" w:cs="Arial"/>
          <w:sz w:val="22"/>
          <w:szCs w:val="22"/>
        </w:rPr>
      </w:pPr>
      <w:r>
        <w:rPr>
          <w:rFonts w:ascii="Arial" w:hAnsi="Arial" w:cs="Arial"/>
          <w:sz w:val="22"/>
          <w:szCs w:val="22"/>
        </w:rPr>
        <w:t>T</w:t>
      </w:r>
      <w:r w:rsidR="00C11C44">
        <w:rPr>
          <w:rFonts w:ascii="Arial" w:hAnsi="Arial" w:cs="Arial"/>
          <w:sz w:val="22"/>
          <w:szCs w:val="22"/>
        </w:rPr>
        <w:t xml:space="preserve">he revision of the 2007 </w:t>
      </w:r>
      <w:r>
        <w:rPr>
          <w:rFonts w:ascii="Arial" w:hAnsi="Arial" w:cs="Arial"/>
          <w:sz w:val="22"/>
          <w:szCs w:val="22"/>
        </w:rPr>
        <w:t>GEPF</w:t>
      </w:r>
      <w:r w:rsidR="00C11C44">
        <w:rPr>
          <w:rFonts w:ascii="Arial" w:hAnsi="Arial" w:cs="Arial"/>
          <w:sz w:val="22"/>
          <w:szCs w:val="22"/>
        </w:rPr>
        <w:t xml:space="preserve"> Mandate in 2009</w:t>
      </w:r>
      <w:r w:rsidR="00467691">
        <w:rPr>
          <w:rFonts w:ascii="Arial" w:hAnsi="Arial" w:cs="Arial"/>
          <w:sz w:val="22"/>
          <w:szCs w:val="22"/>
        </w:rPr>
        <w:t xml:space="preserve"> introduced new asset classes with new </w:t>
      </w:r>
      <w:r>
        <w:rPr>
          <w:rFonts w:ascii="Arial" w:hAnsi="Arial" w:cs="Arial"/>
          <w:sz w:val="22"/>
          <w:szCs w:val="22"/>
        </w:rPr>
        <w:t>SAA</w:t>
      </w:r>
      <w:r w:rsidR="00467691">
        <w:rPr>
          <w:rFonts w:ascii="Arial" w:hAnsi="Arial" w:cs="Arial"/>
          <w:sz w:val="22"/>
          <w:szCs w:val="22"/>
        </w:rPr>
        <w:t xml:space="preserve"> ranges for the</w:t>
      </w:r>
      <w:r>
        <w:rPr>
          <w:rFonts w:ascii="Arial" w:hAnsi="Arial" w:cs="Arial"/>
          <w:sz w:val="22"/>
          <w:szCs w:val="22"/>
        </w:rPr>
        <w:t>se</w:t>
      </w:r>
      <w:r w:rsidR="00467691">
        <w:rPr>
          <w:rFonts w:ascii="Arial" w:hAnsi="Arial" w:cs="Arial"/>
          <w:sz w:val="22"/>
          <w:szCs w:val="22"/>
        </w:rPr>
        <w:t xml:space="preserve"> different asset classes.  The effect was that there were breaches of the new SAA during the transition period when the GEPF Portfolio was </w:t>
      </w:r>
      <w:r w:rsidR="003D5151">
        <w:rPr>
          <w:rFonts w:ascii="Arial" w:hAnsi="Arial" w:cs="Arial"/>
          <w:sz w:val="22"/>
          <w:szCs w:val="22"/>
        </w:rPr>
        <w:t xml:space="preserve">being </w:t>
      </w:r>
      <w:r w:rsidR="00467691">
        <w:rPr>
          <w:rFonts w:ascii="Arial" w:hAnsi="Arial" w:cs="Arial"/>
          <w:sz w:val="22"/>
          <w:szCs w:val="22"/>
        </w:rPr>
        <w:t>aligned with the revised GEPF Mandate.  A similar situation occurred in 2011 when there was a</w:t>
      </w:r>
      <w:r w:rsidR="003D5151">
        <w:rPr>
          <w:rFonts w:ascii="Arial" w:hAnsi="Arial" w:cs="Arial"/>
          <w:sz w:val="22"/>
          <w:szCs w:val="22"/>
        </w:rPr>
        <w:t xml:space="preserve"> further revision by the GEPF of its Mandate to</w:t>
      </w:r>
      <w:r w:rsidR="00467691">
        <w:rPr>
          <w:rFonts w:ascii="Arial" w:hAnsi="Arial" w:cs="Arial"/>
          <w:sz w:val="22"/>
          <w:szCs w:val="22"/>
        </w:rPr>
        <w:t xml:space="preserve"> the PIC</w:t>
      </w:r>
      <w:r w:rsidR="00B067D0">
        <w:rPr>
          <w:rFonts w:ascii="Arial" w:hAnsi="Arial" w:cs="Arial"/>
          <w:sz w:val="22"/>
          <w:szCs w:val="22"/>
        </w:rPr>
        <w:t xml:space="preserve"> and the portfolio had to </w:t>
      </w:r>
      <w:r w:rsidR="008E6E50">
        <w:rPr>
          <w:rFonts w:ascii="Arial" w:hAnsi="Arial" w:cs="Arial"/>
          <w:sz w:val="22"/>
          <w:szCs w:val="22"/>
        </w:rPr>
        <w:t>be transitioned</w:t>
      </w:r>
      <w:r w:rsidR="00B067D0">
        <w:rPr>
          <w:rFonts w:ascii="Arial" w:hAnsi="Arial" w:cs="Arial"/>
          <w:sz w:val="22"/>
          <w:szCs w:val="22"/>
        </w:rPr>
        <w:t xml:space="preserve"> from the old to the </w:t>
      </w:r>
      <w:r w:rsidR="003D5151">
        <w:rPr>
          <w:rFonts w:ascii="Arial" w:hAnsi="Arial" w:cs="Arial"/>
          <w:sz w:val="22"/>
          <w:szCs w:val="22"/>
        </w:rPr>
        <w:t xml:space="preserve">newly </w:t>
      </w:r>
      <w:r w:rsidR="00B067D0">
        <w:rPr>
          <w:rFonts w:ascii="Arial" w:hAnsi="Arial" w:cs="Arial"/>
          <w:sz w:val="22"/>
          <w:szCs w:val="22"/>
        </w:rPr>
        <w:t>revised mandate</w:t>
      </w:r>
      <w:r w:rsidR="00467691">
        <w:rPr>
          <w:rFonts w:ascii="Arial" w:hAnsi="Arial" w:cs="Arial"/>
          <w:sz w:val="22"/>
          <w:szCs w:val="22"/>
        </w:rPr>
        <w:t>.</w:t>
      </w:r>
    </w:p>
    <w:p w:rsidR="00B35D0F" w:rsidRDefault="009642A7" w:rsidP="00467691">
      <w:pPr>
        <w:spacing w:line="276" w:lineRule="auto"/>
        <w:ind w:left="2160" w:hanging="1440"/>
        <w:jc w:val="both"/>
        <w:rPr>
          <w:rFonts w:ascii="Arial" w:hAnsi="Arial" w:cs="Arial"/>
          <w:sz w:val="22"/>
          <w:szCs w:val="22"/>
        </w:rPr>
      </w:pPr>
      <w:r>
        <w:rPr>
          <w:rFonts w:ascii="Arial" w:hAnsi="Arial" w:cs="Arial"/>
          <w:sz w:val="22"/>
          <w:szCs w:val="22"/>
        </w:rPr>
        <w:tab/>
      </w:r>
    </w:p>
    <w:p w:rsidR="009642A7" w:rsidRDefault="009642A7" w:rsidP="00B35D0F">
      <w:pPr>
        <w:spacing w:line="276" w:lineRule="auto"/>
        <w:ind w:left="2160"/>
        <w:jc w:val="both"/>
        <w:rPr>
          <w:rFonts w:ascii="Arial" w:hAnsi="Arial" w:cs="Arial"/>
          <w:sz w:val="22"/>
          <w:szCs w:val="22"/>
        </w:rPr>
      </w:pPr>
      <w:r>
        <w:rPr>
          <w:rFonts w:ascii="Arial" w:hAnsi="Arial" w:cs="Arial"/>
          <w:sz w:val="22"/>
          <w:szCs w:val="22"/>
        </w:rPr>
        <w:t>There are also from time to time technical breaches to the SAA due to market movements and currency fluctuations in different asset classes.</w:t>
      </w:r>
    </w:p>
    <w:p w:rsidR="009642A7" w:rsidRDefault="009642A7" w:rsidP="00467691">
      <w:pPr>
        <w:spacing w:line="276" w:lineRule="auto"/>
        <w:ind w:left="2160" w:hanging="1440"/>
        <w:jc w:val="both"/>
        <w:rPr>
          <w:rFonts w:ascii="Arial" w:hAnsi="Arial" w:cs="Arial"/>
          <w:sz w:val="22"/>
          <w:szCs w:val="22"/>
        </w:rPr>
      </w:pPr>
      <w:r>
        <w:rPr>
          <w:rFonts w:ascii="Arial" w:hAnsi="Arial" w:cs="Arial"/>
          <w:sz w:val="22"/>
          <w:szCs w:val="22"/>
        </w:rPr>
        <w:tab/>
      </w:r>
    </w:p>
    <w:p w:rsidR="00262E24" w:rsidRDefault="00467691" w:rsidP="00467691">
      <w:pPr>
        <w:spacing w:line="276" w:lineRule="auto"/>
        <w:ind w:left="2160" w:hanging="1440"/>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t xml:space="preserve">As per point 5 of former </w:t>
      </w:r>
      <w:r w:rsidR="00B35D0F">
        <w:rPr>
          <w:rFonts w:ascii="Arial" w:hAnsi="Arial" w:cs="Arial"/>
          <w:sz w:val="22"/>
          <w:szCs w:val="22"/>
        </w:rPr>
        <w:t xml:space="preserve">Finance </w:t>
      </w:r>
      <w:r>
        <w:rPr>
          <w:rFonts w:ascii="Arial" w:hAnsi="Arial" w:cs="Arial"/>
          <w:sz w:val="22"/>
          <w:szCs w:val="22"/>
        </w:rPr>
        <w:t xml:space="preserve">Minister </w:t>
      </w:r>
      <w:proofErr w:type="spellStart"/>
      <w:r>
        <w:rPr>
          <w:rFonts w:ascii="Arial" w:hAnsi="Arial" w:cs="Arial"/>
          <w:sz w:val="22"/>
          <w:szCs w:val="22"/>
        </w:rPr>
        <w:t>Gordhan’s</w:t>
      </w:r>
      <w:proofErr w:type="spellEnd"/>
      <w:r>
        <w:rPr>
          <w:rFonts w:ascii="Arial" w:hAnsi="Arial" w:cs="Arial"/>
          <w:sz w:val="22"/>
          <w:szCs w:val="22"/>
        </w:rPr>
        <w:t xml:space="preserve"> reply to Parliamentary Question 2375 of 30 November 2016, these breaches were reported to the GEPF’s Investment Committee and they were condoned and / or rectified.</w:t>
      </w:r>
    </w:p>
    <w:p w:rsidR="00262E24" w:rsidRDefault="00262E24" w:rsidP="00467691">
      <w:pPr>
        <w:spacing w:line="276" w:lineRule="auto"/>
        <w:ind w:left="2160" w:hanging="1440"/>
        <w:jc w:val="both"/>
        <w:rPr>
          <w:rFonts w:ascii="Arial" w:hAnsi="Arial" w:cs="Arial"/>
          <w:sz w:val="22"/>
          <w:szCs w:val="22"/>
        </w:rPr>
      </w:pPr>
      <w:bookmarkStart w:id="0" w:name="_GoBack"/>
      <w:bookmarkEnd w:id="0"/>
    </w:p>
    <w:sectPr w:rsidR="00262E24"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B215A"/>
    <w:multiLevelType w:val="hybridMultilevel"/>
    <w:tmpl w:val="DB724B4A"/>
    <w:lvl w:ilvl="0" w:tplc="44747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9"/>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F"/>
    <w:rsid w:val="00063BEC"/>
    <w:rsid w:val="000652CF"/>
    <w:rsid w:val="000B0B7B"/>
    <w:rsid w:val="000C6E46"/>
    <w:rsid w:val="00104D29"/>
    <w:rsid w:val="001131D9"/>
    <w:rsid w:val="00120022"/>
    <w:rsid w:val="001433AE"/>
    <w:rsid w:val="00166953"/>
    <w:rsid w:val="00175842"/>
    <w:rsid w:val="00182E8A"/>
    <w:rsid w:val="001837AD"/>
    <w:rsid w:val="001C51A3"/>
    <w:rsid w:val="001E515B"/>
    <w:rsid w:val="001E6902"/>
    <w:rsid w:val="001F223B"/>
    <w:rsid w:val="0021081B"/>
    <w:rsid w:val="00247658"/>
    <w:rsid w:val="00252C87"/>
    <w:rsid w:val="002549F9"/>
    <w:rsid w:val="00257D88"/>
    <w:rsid w:val="00262E24"/>
    <w:rsid w:val="002722CF"/>
    <w:rsid w:val="002F5E69"/>
    <w:rsid w:val="00303310"/>
    <w:rsid w:val="00310C5A"/>
    <w:rsid w:val="00323CC8"/>
    <w:rsid w:val="00366412"/>
    <w:rsid w:val="00381AFB"/>
    <w:rsid w:val="003B5D8E"/>
    <w:rsid w:val="003D5151"/>
    <w:rsid w:val="003F0AC4"/>
    <w:rsid w:val="00433463"/>
    <w:rsid w:val="00464EAE"/>
    <w:rsid w:val="00467691"/>
    <w:rsid w:val="004723C7"/>
    <w:rsid w:val="0048061D"/>
    <w:rsid w:val="00487065"/>
    <w:rsid w:val="004A5ED5"/>
    <w:rsid w:val="004B4052"/>
    <w:rsid w:val="004C5679"/>
    <w:rsid w:val="004C7422"/>
    <w:rsid w:val="00501C0E"/>
    <w:rsid w:val="005141B3"/>
    <w:rsid w:val="00524983"/>
    <w:rsid w:val="00530F50"/>
    <w:rsid w:val="00595669"/>
    <w:rsid w:val="005A30FB"/>
    <w:rsid w:val="00603762"/>
    <w:rsid w:val="00613FC6"/>
    <w:rsid w:val="00684AAB"/>
    <w:rsid w:val="00695A9A"/>
    <w:rsid w:val="006B1504"/>
    <w:rsid w:val="006B5828"/>
    <w:rsid w:val="00702034"/>
    <w:rsid w:val="00716D12"/>
    <w:rsid w:val="00736CFE"/>
    <w:rsid w:val="0076584C"/>
    <w:rsid w:val="0079063F"/>
    <w:rsid w:val="007B66A0"/>
    <w:rsid w:val="00807F57"/>
    <w:rsid w:val="00810D64"/>
    <w:rsid w:val="00814F3C"/>
    <w:rsid w:val="0087366B"/>
    <w:rsid w:val="0087557B"/>
    <w:rsid w:val="00892134"/>
    <w:rsid w:val="008A6F4F"/>
    <w:rsid w:val="008B5B10"/>
    <w:rsid w:val="008D26AB"/>
    <w:rsid w:val="008D419D"/>
    <w:rsid w:val="008E6E50"/>
    <w:rsid w:val="0091205F"/>
    <w:rsid w:val="00956BFC"/>
    <w:rsid w:val="00957F87"/>
    <w:rsid w:val="0096291A"/>
    <w:rsid w:val="009642A7"/>
    <w:rsid w:val="009A18A7"/>
    <w:rsid w:val="009B4B8E"/>
    <w:rsid w:val="009E1E41"/>
    <w:rsid w:val="009E6D9F"/>
    <w:rsid w:val="00A139DE"/>
    <w:rsid w:val="00A32409"/>
    <w:rsid w:val="00A42134"/>
    <w:rsid w:val="00A61AD6"/>
    <w:rsid w:val="00A629EF"/>
    <w:rsid w:val="00A6413D"/>
    <w:rsid w:val="00A65EA0"/>
    <w:rsid w:val="00A72104"/>
    <w:rsid w:val="00A86AE1"/>
    <w:rsid w:val="00A959A6"/>
    <w:rsid w:val="00AA1288"/>
    <w:rsid w:val="00AA17BB"/>
    <w:rsid w:val="00AA5C67"/>
    <w:rsid w:val="00AB4FAB"/>
    <w:rsid w:val="00AD0537"/>
    <w:rsid w:val="00AE1B56"/>
    <w:rsid w:val="00AF50AE"/>
    <w:rsid w:val="00B067D0"/>
    <w:rsid w:val="00B35D0F"/>
    <w:rsid w:val="00B409C6"/>
    <w:rsid w:val="00B75338"/>
    <w:rsid w:val="00B905A6"/>
    <w:rsid w:val="00B940DF"/>
    <w:rsid w:val="00BB1CB3"/>
    <w:rsid w:val="00BC3017"/>
    <w:rsid w:val="00BE0961"/>
    <w:rsid w:val="00BF58A9"/>
    <w:rsid w:val="00BF6291"/>
    <w:rsid w:val="00C02CE0"/>
    <w:rsid w:val="00C11C44"/>
    <w:rsid w:val="00C44C35"/>
    <w:rsid w:val="00C540F1"/>
    <w:rsid w:val="00CA56BB"/>
    <w:rsid w:val="00CB3CED"/>
    <w:rsid w:val="00CD717F"/>
    <w:rsid w:val="00D0120D"/>
    <w:rsid w:val="00D252CF"/>
    <w:rsid w:val="00D26B3A"/>
    <w:rsid w:val="00D32984"/>
    <w:rsid w:val="00D71DE6"/>
    <w:rsid w:val="00D747FF"/>
    <w:rsid w:val="00DB6B3C"/>
    <w:rsid w:val="00E07A06"/>
    <w:rsid w:val="00E21152"/>
    <w:rsid w:val="00E26C88"/>
    <w:rsid w:val="00E314D5"/>
    <w:rsid w:val="00E32136"/>
    <w:rsid w:val="00E44AF7"/>
    <w:rsid w:val="00E6523B"/>
    <w:rsid w:val="00E72933"/>
    <w:rsid w:val="00E77DF6"/>
    <w:rsid w:val="00EA5314"/>
    <w:rsid w:val="00EA6440"/>
    <w:rsid w:val="00EB0EA7"/>
    <w:rsid w:val="00ED4459"/>
    <w:rsid w:val="00ED6014"/>
    <w:rsid w:val="00F1697A"/>
    <w:rsid w:val="00F24B8C"/>
    <w:rsid w:val="00F24EF0"/>
    <w:rsid w:val="00F516D1"/>
    <w:rsid w:val="00F670B6"/>
    <w:rsid w:val="00FA66F6"/>
    <w:rsid w:val="00FC2B87"/>
    <w:rsid w:val="00FC6990"/>
    <w:rsid w:val="00FD254B"/>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8A"/>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8A"/>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9323">
      <w:bodyDiv w:val="1"/>
      <w:marLeft w:val="0"/>
      <w:marRight w:val="0"/>
      <w:marTop w:val="0"/>
      <w:marBottom w:val="0"/>
      <w:divBdr>
        <w:top w:val="none" w:sz="0" w:space="0" w:color="auto"/>
        <w:left w:val="none" w:sz="0" w:space="0" w:color="auto"/>
        <w:bottom w:val="none" w:sz="0" w:space="0" w:color="auto"/>
        <w:right w:val="none" w:sz="0" w:space="0" w:color="auto"/>
      </w:divBdr>
    </w:div>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571306681">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71261790">
      <w:bodyDiv w:val="1"/>
      <w:marLeft w:val="0"/>
      <w:marRight w:val="0"/>
      <w:marTop w:val="0"/>
      <w:marBottom w:val="0"/>
      <w:divBdr>
        <w:top w:val="none" w:sz="0" w:space="0" w:color="auto"/>
        <w:left w:val="none" w:sz="0" w:space="0" w:color="auto"/>
        <w:bottom w:val="none" w:sz="0" w:space="0" w:color="auto"/>
        <w:right w:val="none" w:sz="0" w:space="0" w:color="auto"/>
      </w:divBdr>
    </w:div>
    <w:div w:id="1342466912">
      <w:bodyDiv w:val="1"/>
      <w:marLeft w:val="0"/>
      <w:marRight w:val="0"/>
      <w:marTop w:val="0"/>
      <w:marBottom w:val="0"/>
      <w:divBdr>
        <w:top w:val="none" w:sz="0" w:space="0" w:color="auto"/>
        <w:left w:val="none" w:sz="0" w:space="0" w:color="auto"/>
        <w:bottom w:val="none" w:sz="0" w:space="0" w:color="auto"/>
        <w:right w:val="none" w:sz="0" w:space="0" w:color="auto"/>
      </w:divBdr>
    </w:div>
    <w:div w:id="1359890724">
      <w:bodyDiv w:val="1"/>
      <w:marLeft w:val="0"/>
      <w:marRight w:val="0"/>
      <w:marTop w:val="0"/>
      <w:marBottom w:val="0"/>
      <w:divBdr>
        <w:top w:val="none" w:sz="0" w:space="0" w:color="auto"/>
        <w:left w:val="none" w:sz="0" w:space="0" w:color="auto"/>
        <w:bottom w:val="none" w:sz="0" w:space="0" w:color="auto"/>
        <w:right w:val="none" w:sz="0" w:space="0" w:color="auto"/>
      </w:divBdr>
    </w:div>
    <w:div w:id="1485121499">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5D43-04D9-44E2-AB71-60A9AC5F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2017-05-11T07:49:00Z</cp:lastPrinted>
  <dcterms:created xsi:type="dcterms:W3CDTF">2017-05-15T12:19:00Z</dcterms:created>
  <dcterms:modified xsi:type="dcterms:W3CDTF">2017-05-15T12:26:00Z</dcterms:modified>
</cp:coreProperties>
</file>