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ZA" w:eastAsia="en-ZA"/>
        </w:rPr>
        <w:drawing>
          <wp:anchor distT="0" distB="0" distL="114300" distR="114300" simplePos="0" relativeHeight="251660288" behindDoc="0" locked="0" layoutInCell="1" allowOverlap="1" wp14:anchorId="5CB9927E" wp14:editId="5635D858">
            <wp:simplePos x="0" y="0"/>
            <wp:positionH relativeFrom="column">
              <wp:posOffset>2719705</wp:posOffset>
            </wp:positionH>
            <wp:positionV relativeFrom="paragraph">
              <wp:posOffset>-139700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rPr>
      </w:pPr>
      <w:r w:rsidRPr="00A02F3E">
        <w:rPr>
          <w:rFonts w:cs="Arial"/>
          <w:b/>
          <w:color w:val="005C2A"/>
          <w:sz w:val="20"/>
        </w:rPr>
        <w:t xml:space="preserve">MINISTRY </w:t>
      </w:r>
    </w:p>
    <w:p w:rsidR="004D2F24" w:rsidRPr="00A02F3E" w:rsidRDefault="004D2F24" w:rsidP="004D2F24">
      <w:pPr>
        <w:jc w:val="center"/>
        <w:rPr>
          <w:rFonts w:cs="Arial"/>
          <w:b/>
          <w:color w:val="005C2A"/>
          <w:sz w:val="20"/>
        </w:rPr>
      </w:pPr>
      <w:r w:rsidRPr="00A02F3E">
        <w:rPr>
          <w:rFonts w:cs="Arial"/>
          <w:b/>
          <w:color w:val="005C2A"/>
          <w:sz w:val="20"/>
        </w:rPr>
        <w:t>PUBLIC WORKS</w:t>
      </w:r>
    </w:p>
    <w:p w:rsidR="004D2F24" w:rsidRPr="00A02F3E" w:rsidRDefault="004D2F24" w:rsidP="004D2F24">
      <w:pPr>
        <w:jc w:val="center"/>
        <w:rPr>
          <w:rFonts w:cs="Arial"/>
          <w:b/>
          <w:color w:val="005C2A"/>
          <w:sz w:val="20"/>
        </w:rPr>
      </w:pPr>
      <w:r w:rsidRPr="00A02F3E">
        <w:rPr>
          <w:rFonts w:cs="Arial"/>
          <w:b/>
          <w:color w:val="005C2A"/>
          <w:sz w:val="20"/>
        </w:rPr>
        <w:t xml:space="preserve">REPUBLIC OF SOUTH AFRICA </w:t>
      </w:r>
    </w:p>
    <w:p w:rsidR="004D2F24" w:rsidRPr="00A02F3E" w:rsidRDefault="004D2F24" w:rsidP="004D2F24">
      <w:pPr>
        <w:jc w:val="center"/>
        <w:rPr>
          <w:rFonts w:cs="Arial"/>
          <w:sz w:val="20"/>
        </w:rPr>
      </w:pPr>
    </w:p>
    <w:p w:rsidR="004D2F24" w:rsidRPr="00A02F3E" w:rsidRDefault="004D2F24" w:rsidP="004D2F24">
      <w:pPr>
        <w:jc w:val="center"/>
        <w:rPr>
          <w:rFonts w:cs="Arial"/>
          <w:sz w:val="12"/>
        </w:rPr>
      </w:pPr>
      <w:r w:rsidRPr="00A02F3E">
        <w:rPr>
          <w:rFonts w:cs="Arial"/>
          <w:sz w:val="12"/>
        </w:rPr>
        <w:t xml:space="preserve">Department of Public Works l Central Government Offices l 256 </w:t>
      </w:r>
      <w:proofErr w:type="spellStart"/>
      <w:r w:rsidRPr="00A02F3E">
        <w:rPr>
          <w:rFonts w:cs="Arial"/>
          <w:sz w:val="12"/>
        </w:rPr>
        <w:t>Madiba</w:t>
      </w:r>
      <w:proofErr w:type="spellEnd"/>
      <w:r w:rsidRPr="00A02F3E">
        <w:rPr>
          <w:rFonts w:cs="Arial"/>
          <w:sz w:val="12"/>
        </w:rPr>
        <w:t xml:space="preserve"> Street l Pretoria l Contact: +27 (0)12 406 2034 l +27 (0)12 406 1224</w:t>
      </w:r>
    </w:p>
    <w:p w:rsidR="004D2F24" w:rsidRPr="00A02F3E" w:rsidRDefault="004D2F24" w:rsidP="004D2F24">
      <w:pPr>
        <w:jc w:val="left"/>
        <w:rPr>
          <w:rFonts w:cs="Arial"/>
          <w:sz w:val="12"/>
        </w:rPr>
      </w:pPr>
      <w:r w:rsidRPr="00A02F3E">
        <w:rPr>
          <w:rFonts w:cs="Arial"/>
          <w:sz w:val="12"/>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rPr>
      </w:pPr>
      <w:r w:rsidRPr="00A02F3E">
        <w:rPr>
          <w:rFonts w:cs="Arial"/>
          <w:sz w:val="12"/>
        </w:rPr>
        <w:t xml:space="preserve"> </w:t>
      </w:r>
      <w:hyperlink r:id="rId9" w:history="1">
        <w:r w:rsidRPr="00A02F3E">
          <w:rPr>
            <w:rFonts w:cs="Arial"/>
            <w:sz w:val="12"/>
          </w:rPr>
          <w:t>www.publicworks.gov.za</w:t>
        </w:r>
      </w:hyperlink>
      <w:r w:rsidRPr="00A02F3E">
        <w:rPr>
          <w:rFonts w:cs="Arial"/>
          <w:sz w:val="12"/>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263A84">
        <w:rPr>
          <w:rFonts w:cs="Arial"/>
          <w:b/>
          <w:sz w:val="24"/>
          <w:szCs w:val="24"/>
          <w:lang w:val="af-ZA" w:eastAsia="en-US"/>
        </w:rPr>
        <w:t>713</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8E4775">
        <w:rPr>
          <w:rFonts w:eastAsia="Calibri" w:cs="Arial"/>
          <w:b/>
          <w:sz w:val="24"/>
          <w:szCs w:val="24"/>
          <w:lang w:val="af-ZA" w:eastAsia="en-US"/>
        </w:rPr>
        <w:t>NW828</w:t>
      </w:r>
      <w:r w:rsidR="00CC6811" w:rsidRPr="00CC6811">
        <w:rPr>
          <w:rFonts w:eastAsia="Calibri" w:cs="Arial"/>
          <w:b/>
          <w:sz w:val="24"/>
          <w:szCs w:val="24"/>
          <w:lang w:val="af-ZA"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6F490A">
        <w:rPr>
          <w:rFonts w:cs="Arial"/>
          <w:b/>
          <w:sz w:val="24"/>
          <w:szCs w:val="24"/>
          <w:lang w:val="en-US" w:eastAsia="en-US"/>
        </w:rPr>
        <w:t>No. 08</w:t>
      </w:r>
      <w:r w:rsidR="00EE2AEC">
        <w:rPr>
          <w:rFonts w:cs="Arial"/>
          <w:b/>
          <w:sz w:val="24"/>
          <w:szCs w:val="24"/>
          <w:lang w:val="en-US" w:eastAsia="en-US"/>
        </w:rPr>
        <w:t xml:space="preserve"> of 2016</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6F490A">
        <w:rPr>
          <w:rFonts w:cs="Arial"/>
          <w:b/>
          <w:sz w:val="24"/>
          <w:szCs w:val="24"/>
        </w:rPr>
        <w:t>11</w:t>
      </w:r>
      <w:r w:rsidR="00610BA6">
        <w:rPr>
          <w:rFonts w:cs="Arial"/>
          <w:b/>
          <w:sz w:val="24"/>
          <w:szCs w:val="24"/>
        </w:rPr>
        <w:t xml:space="preserve"> MARCH</w:t>
      </w:r>
      <w:r w:rsidR="00EE2AEC">
        <w:rPr>
          <w:rFonts w:cs="Arial"/>
          <w:b/>
          <w:sz w:val="24"/>
          <w:szCs w:val="24"/>
        </w:rPr>
        <w:t xml:space="preserve"> 2016</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EA4AA1">
        <w:rPr>
          <w:rFonts w:cs="Arial"/>
          <w:b/>
          <w:sz w:val="24"/>
          <w:szCs w:val="24"/>
          <w:lang w:val="en-US" w:eastAsia="en-US"/>
        </w:rPr>
        <w:t>26</w:t>
      </w:r>
      <w:r w:rsidR="007C2784">
        <w:rPr>
          <w:rFonts w:cs="Arial"/>
          <w:b/>
          <w:sz w:val="24"/>
          <w:szCs w:val="24"/>
          <w:lang w:val="en-US" w:eastAsia="en-US"/>
        </w:rPr>
        <w:t xml:space="preserve"> </w:t>
      </w:r>
      <w:r>
        <w:rPr>
          <w:rFonts w:cs="Arial"/>
          <w:b/>
          <w:sz w:val="24"/>
          <w:szCs w:val="24"/>
          <w:lang w:val="en-US" w:eastAsia="en-US"/>
        </w:rPr>
        <w:t>MA</w:t>
      </w:r>
      <w:r w:rsidR="00785E84">
        <w:rPr>
          <w:rFonts w:cs="Arial"/>
          <w:b/>
          <w:sz w:val="24"/>
          <w:szCs w:val="24"/>
          <w:lang w:val="en-US" w:eastAsia="en-US"/>
        </w:rPr>
        <w:t xml:space="preserve">Y </w:t>
      </w:r>
      <w:r w:rsidR="00EE2AEC">
        <w:rPr>
          <w:rFonts w:cs="Arial"/>
          <w:b/>
          <w:sz w:val="24"/>
          <w:szCs w:val="24"/>
          <w:lang w:val="en-US" w:eastAsia="en-US"/>
        </w:rPr>
        <w:t>2016</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AE1CD0" w:rsidRPr="00563B55" w:rsidRDefault="00263A84" w:rsidP="007C2784">
      <w:pPr>
        <w:outlineLvl w:val="0"/>
        <w:rPr>
          <w:rFonts w:eastAsia="Calibri" w:cs="Arial"/>
          <w:sz w:val="24"/>
          <w:szCs w:val="24"/>
          <w:lang w:val="af-ZA" w:eastAsia="en-US"/>
        </w:rPr>
      </w:pPr>
      <w:r>
        <w:rPr>
          <w:rFonts w:cs="Arial"/>
          <w:b/>
          <w:sz w:val="24"/>
          <w:szCs w:val="24"/>
          <w:lang w:val="af-ZA" w:eastAsia="en-US"/>
        </w:rPr>
        <w:t>713</w:t>
      </w:r>
      <w:r w:rsidR="009776AC" w:rsidRPr="009776AC">
        <w:rPr>
          <w:rFonts w:cs="Arial"/>
          <w:b/>
          <w:sz w:val="24"/>
          <w:szCs w:val="24"/>
          <w:lang w:val="af-ZA" w:eastAsia="en-US"/>
        </w:rPr>
        <w:t>.</w:t>
      </w:r>
      <w:r w:rsidR="009776AC" w:rsidRPr="003D7908">
        <w:rPr>
          <w:rFonts w:cs="Arial"/>
          <w:b/>
          <w:sz w:val="24"/>
          <w:szCs w:val="24"/>
          <w:lang w:val="af-ZA" w:eastAsia="en-US"/>
        </w:rPr>
        <w:tab/>
      </w:r>
      <w:r w:rsidR="00AE1CD0" w:rsidRPr="00AE1CD0">
        <w:rPr>
          <w:rFonts w:eastAsia="Calibri" w:cs="Arial"/>
          <w:b/>
          <w:sz w:val="24"/>
          <w:szCs w:val="24"/>
          <w:lang w:val="af-ZA" w:eastAsia="en-US"/>
        </w:rPr>
        <w:t xml:space="preserve">Ms D Kohler (DA) </w:t>
      </w:r>
      <w:r w:rsidR="00AE1CD0" w:rsidRPr="00563B55">
        <w:rPr>
          <w:rFonts w:eastAsia="Calibri" w:cs="Arial"/>
          <w:b/>
          <w:sz w:val="24"/>
          <w:szCs w:val="24"/>
          <w:lang w:eastAsia="en-US"/>
        </w:rPr>
        <w:t>ask</w:t>
      </w:r>
      <w:r w:rsidR="00AE1CD0" w:rsidRPr="00AE1CD0">
        <w:rPr>
          <w:rFonts w:eastAsia="Calibri" w:cs="Arial"/>
          <w:b/>
          <w:sz w:val="24"/>
          <w:szCs w:val="24"/>
          <w:lang w:eastAsia="en-US"/>
        </w:rPr>
        <w:t>ed</w:t>
      </w:r>
      <w:r w:rsidR="00AE1CD0" w:rsidRPr="00563B55">
        <w:rPr>
          <w:rFonts w:eastAsia="Calibri" w:cs="Arial"/>
          <w:b/>
          <w:sz w:val="24"/>
          <w:szCs w:val="24"/>
          <w:lang w:val="af-ZA" w:eastAsia="en-US"/>
        </w:rPr>
        <w:t xml:space="preserve"> the Minister of Public Works:</w:t>
      </w:r>
    </w:p>
    <w:p w:rsidR="00263A84" w:rsidRDefault="00263A84" w:rsidP="007C2784">
      <w:pPr>
        <w:spacing w:before="100" w:beforeAutospacing="1" w:after="100" w:afterAutospacing="1" w:line="276" w:lineRule="auto"/>
        <w:ind w:left="720" w:hanging="720"/>
        <w:outlineLvl w:val="0"/>
        <w:rPr>
          <w:rFonts w:eastAsia="Calibri" w:cs="Arial"/>
          <w:sz w:val="24"/>
          <w:szCs w:val="24"/>
          <w:lang w:val="af-ZA" w:eastAsia="en-US"/>
        </w:rPr>
      </w:pPr>
      <w:r w:rsidRPr="00263A84">
        <w:rPr>
          <w:rFonts w:eastAsia="Calibri" w:cs="Arial"/>
          <w:color w:val="000000"/>
          <w:sz w:val="24"/>
          <w:szCs w:val="24"/>
          <w:lang w:val="af-ZA" w:eastAsia="en-US"/>
        </w:rPr>
        <w:t>(1)</w:t>
      </w:r>
      <w:r w:rsidRPr="00263A84">
        <w:rPr>
          <w:rFonts w:eastAsia="Calibri" w:cs="Arial"/>
          <w:color w:val="000000"/>
          <w:sz w:val="24"/>
          <w:szCs w:val="24"/>
          <w:lang w:val="af-ZA" w:eastAsia="en-US"/>
        </w:rPr>
        <w:tab/>
      </w:r>
      <w:r w:rsidRPr="00263A84">
        <w:rPr>
          <w:rFonts w:eastAsia="Calibri" w:cs="Arial"/>
          <w:sz w:val="24"/>
          <w:szCs w:val="24"/>
          <w:lang w:val="af-ZA" w:eastAsia="en-US"/>
        </w:rPr>
        <w:t>(a) How many properties in terms of (i) land and (ii) any other specified form of property are currently owned by his department in each province, (b) by which department is each of the specified properties occupied and (c) how many of the specified properties are leased to each specified department in each province;</w:t>
      </w:r>
    </w:p>
    <w:p w:rsidR="00263A84" w:rsidRDefault="00263A84" w:rsidP="007C2784">
      <w:pPr>
        <w:spacing w:before="100" w:beforeAutospacing="1" w:after="100" w:afterAutospacing="1" w:line="276" w:lineRule="auto"/>
        <w:ind w:left="720" w:hanging="720"/>
        <w:outlineLvl w:val="0"/>
        <w:rPr>
          <w:rFonts w:eastAsia="Calibri" w:cs="Arial"/>
          <w:sz w:val="24"/>
          <w:szCs w:val="24"/>
          <w:lang w:val="af-ZA" w:eastAsia="en-US"/>
        </w:rPr>
      </w:pPr>
      <w:r w:rsidRPr="00263A84">
        <w:rPr>
          <w:rFonts w:eastAsia="Calibri" w:cs="Arial"/>
          <w:sz w:val="24"/>
          <w:szCs w:val="24"/>
          <w:lang w:val="af-ZA" w:eastAsia="en-US"/>
        </w:rPr>
        <w:t>(2)</w:t>
      </w:r>
      <w:r w:rsidRPr="00263A84">
        <w:rPr>
          <w:rFonts w:eastAsia="Calibri" w:cs="Arial"/>
          <w:sz w:val="24"/>
          <w:szCs w:val="24"/>
          <w:lang w:val="af-ZA" w:eastAsia="en-US"/>
        </w:rPr>
        <w:tab/>
        <w:t>(a) what is the rental amount payable by each of the specified departments on a monthly basis in each province and (b) how is the rental amount determined in each case;</w:t>
      </w:r>
    </w:p>
    <w:p w:rsidR="00263A84" w:rsidRDefault="00263A84" w:rsidP="007C2784">
      <w:pPr>
        <w:spacing w:before="100" w:beforeAutospacing="1" w:after="100" w:afterAutospacing="1" w:line="276" w:lineRule="auto"/>
        <w:ind w:left="720" w:hanging="720"/>
        <w:outlineLvl w:val="0"/>
        <w:rPr>
          <w:rFonts w:eastAsia="Calibri" w:cs="Arial"/>
          <w:sz w:val="24"/>
          <w:szCs w:val="24"/>
          <w:lang w:val="af-ZA" w:eastAsia="en-US"/>
        </w:rPr>
      </w:pPr>
      <w:r w:rsidRPr="00263A84">
        <w:rPr>
          <w:rFonts w:eastAsia="Calibri" w:cs="Arial"/>
          <w:sz w:val="24"/>
          <w:szCs w:val="24"/>
          <w:lang w:val="af-ZA" w:eastAsia="en-US"/>
        </w:rPr>
        <w:t>(3)</w:t>
      </w:r>
      <w:r w:rsidRPr="00263A84">
        <w:rPr>
          <w:rFonts w:eastAsia="Calibri" w:cs="Arial"/>
          <w:sz w:val="24"/>
          <w:szCs w:val="24"/>
          <w:lang w:val="af-ZA" w:eastAsia="en-US"/>
        </w:rPr>
        <w:tab/>
        <w:t xml:space="preserve">of the total number of properties owned by his department, (a) how many buildings are currently </w:t>
      </w:r>
      <w:r w:rsidRPr="00263A84">
        <w:rPr>
          <w:rFonts w:eastAsia="Calibri" w:cs="Arial"/>
          <w:iCs/>
          <w:sz w:val="24"/>
          <w:szCs w:val="24"/>
          <w:lang w:val="af-ZA" w:eastAsia="en-US"/>
        </w:rPr>
        <w:t xml:space="preserve">not </w:t>
      </w:r>
      <w:r w:rsidRPr="00263A84">
        <w:rPr>
          <w:rFonts w:eastAsia="Calibri" w:cs="Arial"/>
          <w:sz w:val="24"/>
          <w:szCs w:val="24"/>
          <w:lang w:val="af-ZA" w:eastAsia="en-US"/>
        </w:rPr>
        <w:t>being (i) leased or (ii) otherwise utilised in each province and (b) what (i) rates, (ii) taxes and (iii) utilities are payable each month on each of the specified properties in each province;</w:t>
      </w:r>
    </w:p>
    <w:p w:rsidR="00263A84" w:rsidRDefault="00263A84" w:rsidP="007C2784">
      <w:pPr>
        <w:pBdr>
          <w:bottom w:val="single" w:sz="12" w:space="1" w:color="auto"/>
        </w:pBdr>
        <w:ind w:left="720" w:hanging="720"/>
        <w:outlineLvl w:val="0"/>
        <w:rPr>
          <w:rFonts w:eastAsia="Calibri" w:cs="Arial"/>
          <w:b/>
          <w:sz w:val="20"/>
          <w:lang w:val="af-ZA" w:eastAsia="en-US"/>
        </w:rPr>
      </w:pPr>
      <w:r w:rsidRPr="006F13BD">
        <w:rPr>
          <w:rFonts w:eastAsia="Calibri" w:cs="Arial"/>
          <w:sz w:val="24"/>
          <w:szCs w:val="24"/>
          <w:lang w:val="af-ZA" w:eastAsia="en-US"/>
        </w:rPr>
        <w:t>(4)</w:t>
      </w:r>
      <w:r w:rsidRPr="006F13BD">
        <w:rPr>
          <w:rFonts w:eastAsia="Calibri" w:cs="Arial"/>
          <w:sz w:val="24"/>
          <w:szCs w:val="24"/>
          <w:lang w:val="af-ZA" w:eastAsia="en-US"/>
        </w:rPr>
        <w:tab/>
        <w:t xml:space="preserve">how much land is currently </w:t>
      </w:r>
      <w:r w:rsidRPr="006F13BD">
        <w:rPr>
          <w:rFonts w:eastAsia="Calibri" w:cs="Arial"/>
          <w:iCs/>
          <w:sz w:val="24"/>
          <w:szCs w:val="24"/>
          <w:lang w:val="af-ZA" w:eastAsia="en-US"/>
        </w:rPr>
        <w:t>not</w:t>
      </w:r>
      <w:r w:rsidRPr="006F13BD">
        <w:rPr>
          <w:rFonts w:eastAsia="Calibri" w:cs="Arial"/>
          <w:sz w:val="24"/>
          <w:szCs w:val="24"/>
          <w:lang w:val="af-ZA" w:eastAsia="en-US"/>
        </w:rPr>
        <w:t xml:space="preserve"> being (a) leased or (b) otherwise utilised in each province?</w:t>
      </w:r>
      <w:r w:rsidR="002B6C2E">
        <w:rPr>
          <w:rFonts w:eastAsia="Calibri" w:cs="Arial"/>
          <w:sz w:val="24"/>
          <w:szCs w:val="24"/>
          <w:lang w:val="af-ZA" w:eastAsia="en-US"/>
        </w:rPr>
        <w:t xml:space="preserve">                                                    </w:t>
      </w:r>
      <w:r w:rsidR="007C2784">
        <w:rPr>
          <w:rFonts w:eastAsia="Calibri" w:cs="Arial"/>
          <w:sz w:val="24"/>
          <w:szCs w:val="24"/>
          <w:lang w:val="af-ZA" w:eastAsia="en-US"/>
        </w:rPr>
        <w:tab/>
      </w:r>
      <w:r w:rsidR="007C2784">
        <w:rPr>
          <w:rFonts w:eastAsia="Calibri" w:cs="Arial"/>
          <w:sz w:val="24"/>
          <w:szCs w:val="24"/>
          <w:lang w:val="af-ZA" w:eastAsia="en-US"/>
        </w:rPr>
        <w:tab/>
      </w:r>
      <w:r w:rsidR="002B6C2E">
        <w:rPr>
          <w:rFonts w:eastAsia="Calibri" w:cs="Arial"/>
          <w:sz w:val="24"/>
          <w:szCs w:val="24"/>
          <w:lang w:val="af-ZA" w:eastAsia="en-US"/>
        </w:rPr>
        <w:t xml:space="preserve">                                </w:t>
      </w:r>
      <w:r w:rsidRPr="007C2784">
        <w:rPr>
          <w:rFonts w:eastAsia="Calibri" w:cs="Arial"/>
          <w:b/>
          <w:sz w:val="20"/>
          <w:lang w:val="af-ZA" w:eastAsia="en-US"/>
        </w:rPr>
        <w:t>NW828E</w:t>
      </w:r>
    </w:p>
    <w:p w:rsidR="007C2784" w:rsidRPr="00263A84" w:rsidRDefault="007C2784" w:rsidP="007C2784">
      <w:pPr>
        <w:pBdr>
          <w:bottom w:val="single" w:sz="12" w:space="1" w:color="auto"/>
        </w:pBdr>
        <w:ind w:left="720" w:hanging="720"/>
        <w:outlineLvl w:val="0"/>
        <w:rPr>
          <w:rFonts w:eastAsia="Calibri" w:cs="Arial"/>
          <w:b/>
          <w:sz w:val="24"/>
          <w:szCs w:val="24"/>
          <w:lang w:val="af-ZA" w:eastAsia="en-US"/>
        </w:rPr>
      </w:pPr>
    </w:p>
    <w:p w:rsidR="007C2784" w:rsidRDefault="007C2784" w:rsidP="007C2784">
      <w:pPr>
        <w:rPr>
          <w:rFonts w:cs="Arial"/>
          <w:b/>
          <w:sz w:val="24"/>
          <w:szCs w:val="24"/>
          <w:lang w:eastAsia="en-US"/>
        </w:rPr>
      </w:pPr>
      <w:r>
        <w:rPr>
          <w:rFonts w:cs="Arial"/>
          <w:b/>
          <w:sz w:val="24"/>
          <w:szCs w:val="24"/>
          <w:lang w:eastAsia="en-US"/>
        </w:rPr>
        <w:t>REPLY:</w:t>
      </w:r>
    </w:p>
    <w:p w:rsidR="002B6C2E" w:rsidRDefault="002B6C2E" w:rsidP="007C2784">
      <w:pPr>
        <w:rPr>
          <w:rFonts w:cs="Arial"/>
          <w:b/>
          <w:sz w:val="24"/>
          <w:szCs w:val="24"/>
          <w:lang w:eastAsia="en-US"/>
        </w:rPr>
      </w:pPr>
    </w:p>
    <w:p w:rsidR="004D2F24" w:rsidRPr="00EF25FA" w:rsidRDefault="00B44E3D" w:rsidP="007C2784">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C12D17" w:rsidRPr="00453FC8" w:rsidRDefault="00C12D17" w:rsidP="00591850">
      <w:pPr>
        <w:rPr>
          <w:rFonts w:cs="Arial"/>
          <w:b/>
          <w:sz w:val="24"/>
          <w:szCs w:val="24"/>
          <w:lang w:eastAsia="en-US"/>
        </w:rPr>
      </w:pPr>
    </w:p>
    <w:p w:rsidR="00055103" w:rsidRPr="0074086A" w:rsidRDefault="007C2784" w:rsidP="007C2784">
      <w:pPr>
        <w:tabs>
          <w:tab w:val="left" w:pos="1980"/>
        </w:tabs>
        <w:ind w:left="1440" w:hanging="1440"/>
        <w:rPr>
          <w:rFonts w:cs="Arial"/>
          <w:sz w:val="24"/>
          <w:szCs w:val="24"/>
          <w:lang w:eastAsia="en-US"/>
        </w:rPr>
      </w:pPr>
      <w:r>
        <w:rPr>
          <w:rFonts w:cs="Arial"/>
          <w:sz w:val="24"/>
          <w:szCs w:val="24"/>
          <w:lang w:eastAsia="en-US"/>
        </w:rPr>
        <w:t xml:space="preserve">(1) </w:t>
      </w:r>
      <w:r w:rsidR="00C12D17" w:rsidRPr="007C2784">
        <w:rPr>
          <w:rFonts w:cs="Arial"/>
          <w:sz w:val="24"/>
          <w:szCs w:val="24"/>
          <w:lang w:eastAsia="en-US"/>
        </w:rPr>
        <w:t>(</w:t>
      </w:r>
      <w:proofErr w:type="gramStart"/>
      <w:r w:rsidR="00C12D17" w:rsidRPr="007C2784">
        <w:rPr>
          <w:rFonts w:cs="Arial"/>
          <w:sz w:val="24"/>
          <w:szCs w:val="24"/>
          <w:lang w:eastAsia="en-US"/>
        </w:rPr>
        <w:t>a</w:t>
      </w:r>
      <w:proofErr w:type="gramEnd"/>
      <w:r w:rsidR="00C12D17" w:rsidRPr="007C2784">
        <w:rPr>
          <w:rFonts w:cs="Arial"/>
          <w:sz w:val="24"/>
          <w:szCs w:val="24"/>
          <w:lang w:eastAsia="en-US"/>
        </w:rPr>
        <w:t>)</w:t>
      </w:r>
      <w:r>
        <w:rPr>
          <w:rFonts w:cs="Arial"/>
          <w:sz w:val="24"/>
          <w:szCs w:val="24"/>
          <w:lang w:eastAsia="en-US"/>
        </w:rPr>
        <w:t xml:space="preserve"> </w:t>
      </w:r>
      <w:r w:rsidR="00C12D17" w:rsidRPr="007C2784">
        <w:rPr>
          <w:rFonts w:cs="Arial"/>
          <w:sz w:val="24"/>
          <w:szCs w:val="24"/>
          <w:lang w:eastAsia="en-US"/>
        </w:rPr>
        <w:t>(i)</w:t>
      </w:r>
      <w:r>
        <w:rPr>
          <w:rFonts w:cs="Arial"/>
          <w:sz w:val="24"/>
          <w:szCs w:val="24"/>
          <w:lang w:eastAsia="en-US"/>
        </w:rPr>
        <w:tab/>
      </w:r>
      <w:r w:rsidR="0074086A" w:rsidRPr="0074086A">
        <w:rPr>
          <w:rFonts w:cs="Arial"/>
          <w:sz w:val="24"/>
          <w:szCs w:val="24"/>
          <w:lang w:eastAsia="en-US"/>
        </w:rPr>
        <w:t xml:space="preserve">The Department of Public Works </w:t>
      </w:r>
      <w:r w:rsidR="00701428">
        <w:rPr>
          <w:rFonts w:cs="Arial"/>
          <w:sz w:val="24"/>
          <w:szCs w:val="24"/>
          <w:lang w:eastAsia="en-US"/>
        </w:rPr>
        <w:t xml:space="preserve">(DPW) </w:t>
      </w:r>
      <w:r w:rsidR="0074086A" w:rsidRPr="0074086A">
        <w:rPr>
          <w:rFonts w:cs="Arial"/>
          <w:sz w:val="24"/>
          <w:szCs w:val="24"/>
          <w:lang w:eastAsia="en-US"/>
        </w:rPr>
        <w:t xml:space="preserve">is custodian of </w:t>
      </w:r>
      <w:r w:rsidR="00C12D17" w:rsidRPr="0074086A">
        <w:rPr>
          <w:rFonts w:cs="Arial"/>
          <w:sz w:val="24"/>
          <w:szCs w:val="24"/>
          <w:lang w:eastAsia="en-US"/>
        </w:rPr>
        <w:t>31</w:t>
      </w:r>
      <w:r w:rsidR="0074086A" w:rsidRPr="0074086A">
        <w:rPr>
          <w:rFonts w:cs="Arial"/>
          <w:sz w:val="24"/>
          <w:szCs w:val="24"/>
          <w:lang w:eastAsia="en-US"/>
        </w:rPr>
        <w:t>,</w:t>
      </w:r>
      <w:r w:rsidR="00C12D17" w:rsidRPr="0074086A">
        <w:rPr>
          <w:rFonts w:cs="Arial"/>
          <w:sz w:val="24"/>
          <w:szCs w:val="24"/>
          <w:lang w:eastAsia="en-US"/>
        </w:rPr>
        <w:t xml:space="preserve">310 land </w:t>
      </w:r>
      <w:r w:rsidR="0074086A" w:rsidRPr="0074086A">
        <w:rPr>
          <w:rFonts w:cs="Arial"/>
          <w:sz w:val="24"/>
          <w:szCs w:val="24"/>
          <w:lang w:eastAsia="en-US"/>
        </w:rPr>
        <w:t xml:space="preserve">                                      </w:t>
      </w:r>
      <w:r w:rsidR="00C12D17" w:rsidRPr="0074086A">
        <w:rPr>
          <w:rFonts w:cs="Arial"/>
          <w:sz w:val="24"/>
          <w:szCs w:val="24"/>
          <w:lang w:eastAsia="en-US"/>
        </w:rPr>
        <w:t xml:space="preserve">parcels as at </w:t>
      </w:r>
      <w:r>
        <w:rPr>
          <w:rFonts w:cs="Arial"/>
          <w:sz w:val="24"/>
          <w:szCs w:val="24"/>
          <w:lang w:eastAsia="en-US"/>
        </w:rPr>
        <w:t>end of</w:t>
      </w:r>
      <w:r w:rsidR="00C12D17" w:rsidRPr="0074086A">
        <w:rPr>
          <w:rFonts w:cs="Arial"/>
          <w:sz w:val="24"/>
          <w:szCs w:val="24"/>
          <w:lang w:eastAsia="en-US"/>
        </w:rPr>
        <w:t xml:space="preserve"> March 2016.</w:t>
      </w:r>
      <w:r w:rsidR="0074086A" w:rsidRPr="0074086A">
        <w:rPr>
          <w:rFonts w:cs="Arial"/>
          <w:sz w:val="24"/>
          <w:szCs w:val="24"/>
          <w:lang w:eastAsia="en-US"/>
        </w:rPr>
        <w:t xml:space="preserve">  Please refer to Annexure 1</w:t>
      </w:r>
      <w:r w:rsidR="00EC595C">
        <w:rPr>
          <w:rFonts w:cs="Arial"/>
          <w:sz w:val="24"/>
          <w:szCs w:val="24"/>
          <w:lang w:eastAsia="en-US"/>
        </w:rPr>
        <w:t>(a)</w:t>
      </w:r>
      <w:r w:rsidR="00701428">
        <w:rPr>
          <w:rFonts w:cs="Arial"/>
          <w:sz w:val="24"/>
          <w:szCs w:val="24"/>
          <w:lang w:eastAsia="en-US"/>
        </w:rPr>
        <w:t xml:space="preserve"> </w:t>
      </w:r>
      <w:r w:rsidR="00EC595C">
        <w:rPr>
          <w:rFonts w:cs="Arial"/>
          <w:sz w:val="24"/>
          <w:szCs w:val="24"/>
          <w:lang w:eastAsia="en-US"/>
        </w:rPr>
        <w:t xml:space="preserve">(i) for the </w:t>
      </w:r>
      <w:r w:rsidR="0074086A">
        <w:rPr>
          <w:rFonts w:cs="Arial"/>
          <w:sz w:val="24"/>
          <w:szCs w:val="24"/>
          <w:lang w:eastAsia="en-US"/>
        </w:rPr>
        <w:t>detailed list per province</w:t>
      </w:r>
      <w:r w:rsidR="00EC595C">
        <w:rPr>
          <w:rFonts w:cs="Arial"/>
          <w:sz w:val="24"/>
          <w:szCs w:val="24"/>
          <w:lang w:eastAsia="en-US"/>
        </w:rPr>
        <w:t>.</w:t>
      </w:r>
    </w:p>
    <w:p w:rsidR="00055103" w:rsidRPr="00453FC8" w:rsidRDefault="00055103" w:rsidP="00055103">
      <w:pPr>
        <w:ind w:left="709"/>
        <w:rPr>
          <w:rFonts w:cs="Arial"/>
          <w:sz w:val="24"/>
          <w:szCs w:val="24"/>
          <w:lang w:eastAsia="en-US"/>
        </w:rPr>
      </w:pPr>
    </w:p>
    <w:p w:rsidR="00C12D17" w:rsidRPr="00055103" w:rsidRDefault="00EC595C" w:rsidP="007C2784">
      <w:pPr>
        <w:tabs>
          <w:tab w:val="left" w:pos="1980"/>
        </w:tabs>
        <w:ind w:left="1440" w:hanging="720"/>
        <w:rPr>
          <w:rFonts w:cs="Arial"/>
          <w:sz w:val="24"/>
          <w:szCs w:val="24"/>
          <w:lang w:eastAsia="en-US"/>
        </w:rPr>
      </w:pPr>
      <w:r>
        <w:rPr>
          <w:rFonts w:cs="Arial"/>
          <w:sz w:val="24"/>
          <w:szCs w:val="24"/>
          <w:lang w:eastAsia="en-US"/>
        </w:rPr>
        <w:lastRenderedPageBreak/>
        <w:t>(ii)</w:t>
      </w:r>
      <w:r w:rsidR="007C2784">
        <w:rPr>
          <w:rFonts w:cs="Arial"/>
          <w:sz w:val="24"/>
          <w:szCs w:val="24"/>
          <w:lang w:eastAsia="en-US"/>
        </w:rPr>
        <w:t xml:space="preserve"> </w:t>
      </w:r>
      <w:r w:rsidR="007C2784">
        <w:rPr>
          <w:rFonts w:cs="Arial"/>
          <w:sz w:val="24"/>
          <w:szCs w:val="24"/>
          <w:lang w:eastAsia="en-US"/>
        </w:rPr>
        <w:tab/>
      </w:r>
      <w:r w:rsidR="00701428">
        <w:rPr>
          <w:rFonts w:cs="Arial"/>
          <w:sz w:val="24"/>
          <w:szCs w:val="24"/>
          <w:lang w:eastAsia="en-US"/>
        </w:rPr>
        <w:t>The DPW</w:t>
      </w:r>
      <w:r>
        <w:rPr>
          <w:rFonts w:cs="Arial"/>
          <w:sz w:val="24"/>
          <w:szCs w:val="24"/>
          <w:lang w:eastAsia="en-US"/>
        </w:rPr>
        <w:t xml:space="preserve"> is custodian of </w:t>
      </w:r>
      <w:r w:rsidR="00C12D17" w:rsidRPr="00055103">
        <w:rPr>
          <w:rFonts w:cs="Arial"/>
          <w:sz w:val="24"/>
          <w:szCs w:val="24"/>
          <w:lang w:eastAsia="en-US"/>
        </w:rPr>
        <w:t>95</w:t>
      </w:r>
      <w:r>
        <w:rPr>
          <w:rFonts w:cs="Arial"/>
          <w:sz w:val="24"/>
          <w:szCs w:val="24"/>
          <w:lang w:eastAsia="en-US"/>
        </w:rPr>
        <w:t>,587</w:t>
      </w:r>
      <w:r w:rsidR="00C12D17" w:rsidRPr="00055103">
        <w:rPr>
          <w:rFonts w:cs="Arial"/>
          <w:sz w:val="24"/>
          <w:szCs w:val="24"/>
          <w:lang w:eastAsia="en-US"/>
        </w:rPr>
        <w:t xml:space="preserve"> </w:t>
      </w:r>
      <w:r w:rsidR="00055103">
        <w:rPr>
          <w:rFonts w:cs="Arial"/>
          <w:sz w:val="24"/>
          <w:szCs w:val="24"/>
          <w:lang w:eastAsia="en-US"/>
        </w:rPr>
        <w:t>buildings</w:t>
      </w:r>
      <w:r>
        <w:rPr>
          <w:rFonts w:cs="Arial"/>
          <w:sz w:val="24"/>
          <w:szCs w:val="24"/>
          <w:lang w:eastAsia="en-US"/>
        </w:rPr>
        <w:t xml:space="preserve"> and other improvements</w:t>
      </w:r>
      <w:r w:rsidR="00C12D17" w:rsidRPr="00055103">
        <w:rPr>
          <w:rFonts w:cs="Arial"/>
          <w:sz w:val="24"/>
          <w:szCs w:val="24"/>
          <w:lang w:eastAsia="en-US"/>
        </w:rPr>
        <w:t>.</w:t>
      </w:r>
      <w:r w:rsidRPr="00EC595C">
        <w:rPr>
          <w:rFonts w:cs="Arial"/>
          <w:sz w:val="24"/>
          <w:szCs w:val="24"/>
          <w:lang w:eastAsia="en-US"/>
        </w:rPr>
        <w:t xml:space="preserve"> </w:t>
      </w:r>
      <w:r w:rsidR="00733A6A" w:rsidRPr="0074086A">
        <w:rPr>
          <w:rFonts w:cs="Arial"/>
          <w:sz w:val="24"/>
          <w:szCs w:val="24"/>
          <w:lang w:eastAsia="en-US"/>
        </w:rPr>
        <w:t>Please refer to Annexure 1</w:t>
      </w:r>
      <w:r w:rsidR="00733A6A">
        <w:rPr>
          <w:rFonts w:cs="Arial"/>
          <w:sz w:val="24"/>
          <w:szCs w:val="24"/>
          <w:lang w:eastAsia="en-US"/>
        </w:rPr>
        <w:t>(a)</w:t>
      </w:r>
      <w:r w:rsidR="00701428">
        <w:rPr>
          <w:rFonts w:cs="Arial"/>
          <w:sz w:val="24"/>
          <w:szCs w:val="24"/>
          <w:lang w:eastAsia="en-US"/>
        </w:rPr>
        <w:t xml:space="preserve"> </w:t>
      </w:r>
      <w:r w:rsidR="00733A6A">
        <w:rPr>
          <w:rFonts w:cs="Arial"/>
          <w:sz w:val="24"/>
          <w:szCs w:val="24"/>
          <w:lang w:eastAsia="en-US"/>
        </w:rPr>
        <w:t xml:space="preserve">(i) for </w:t>
      </w:r>
      <w:r>
        <w:rPr>
          <w:rFonts w:cs="Arial"/>
          <w:sz w:val="24"/>
          <w:szCs w:val="24"/>
          <w:lang w:eastAsia="en-US"/>
        </w:rPr>
        <w:t>the detailed list per province.</w:t>
      </w:r>
    </w:p>
    <w:p w:rsidR="00C12D17" w:rsidRPr="00055103" w:rsidRDefault="00C12D17" w:rsidP="00055103">
      <w:pPr>
        <w:pStyle w:val="ListParagraph"/>
        <w:ind w:left="2127" w:hanging="709"/>
        <w:rPr>
          <w:rFonts w:cs="Arial"/>
          <w:sz w:val="24"/>
          <w:szCs w:val="24"/>
          <w:lang w:eastAsia="en-US"/>
        </w:rPr>
      </w:pPr>
    </w:p>
    <w:p w:rsidR="00C12D17" w:rsidRPr="00055103" w:rsidRDefault="00C12D17" w:rsidP="007C2784">
      <w:pPr>
        <w:pStyle w:val="NormalWeb"/>
        <w:spacing w:before="0" w:beforeAutospacing="0" w:after="0" w:afterAutospacing="0"/>
        <w:ind w:left="1418" w:hanging="698"/>
        <w:jc w:val="both"/>
        <w:textAlignment w:val="bottom"/>
        <w:rPr>
          <w:rFonts w:ascii="Arial" w:hAnsi="Arial" w:cs="Arial"/>
        </w:rPr>
      </w:pPr>
      <w:r w:rsidRPr="00055103">
        <w:rPr>
          <w:rFonts w:ascii="Arial" w:eastAsia="Calibri" w:hAnsi="Arial" w:cs="Arial"/>
          <w:lang w:val="af-ZA" w:eastAsia="en-US"/>
        </w:rPr>
        <w:t>(b)</w:t>
      </w:r>
      <w:r w:rsidR="00E02D89">
        <w:rPr>
          <w:rFonts w:ascii="Arial" w:eastAsia="Calibri" w:hAnsi="Arial" w:cs="Arial"/>
          <w:lang w:val="af-ZA" w:eastAsia="en-US"/>
        </w:rPr>
        <w:tab/>
      </w:r>
      <w:r w:rsidR="00391749">
        <w:rPr>
          <w:rFonts w:ascii="Arial" w:eastAsia="Calibri" w:hAnsi="Arial" w:cs="Arial"/>
          <w:lang w:val="af-ZA" w:eastAsia="en-US"/>
        </w:rPr>
        <w:t xml:space="preserve">Government </w:t>
      </w:r>
      <w:r w:rsidR="00BF7FE7">
        <w:rPr>
          <w:rFonts w:ascii="Arial" w:eastAsia="Calibri" w:hAnsi="Arial" w:cs="Arial"/>
          <w:lang w:val="af-ZA" w:eastAsia="en-US"/>
        </w:rPr>
        <w:t xml:space="preserve">User Departments </w:t>
      </w:r>
      <w:r w:rsidR="00F81085">
        <w:rPr>
          <w:rFonts w:ascii="Arial" w:eastAsia="Calibri" w:hAnsi="Arial" w:cs="Arial"/>
          <w:lang w:val="af-ZA" w:eastAsia="en-US"/>
        </w:rPr>
        <w:t xml:space="preserve">and other entities </w:t>
      </w:r>
      <w:r w:rsidR="00BF7FE7">
        <w:rPr>
          <w:rFonts w:ascii="Arial" w:eastAsia="Calibri" w:hAnsi="Arial" w:cs="Arial"/>
          <w:lang w:val="af-ZA" w:eastAsia="en-US"/>
        </w:rPr>
        <w:t>occupy properties under the custodianship of the Department of Public Works</w:t>
      </w:r>
      <w:r w:rsidR="00BF7FE7" w:rsidRPr="00733A6A">
        <w:rPr>
          <w:rFonts w:ascii="Arial" w:eastAsia="Calibri" w:hAnsi="Arial" w:cs="Arial"/>
          <w:lang w:val="af-ZA" w:eastAsia="en-US"/>
        </w:rPr>
        <w:t xml:space="preserve">. </w:t>
      </w:r>
      <w:r w:rsidR="00733A6A" w:rsidRPr="00733A6A">
        <w:rPr>
          <w:rFonts w:ascii="Arial" w:hAnsi="Arial" w:cs="Arial"/>
          <w:lang w:eastAsia="en-US"/>
        </w:rPr>
        <w:t>Please refer to Annexure 1(a</w:t>
      </w:r>
      <w:proofErr w:type="gramStart"/>
      <w:r w:rsidR="00733A6A" w:rsidRPr="00733A6A">
        <w:rPr>
          <w:rFonts w:ascii="Arial" w:hAnsi="Arial" w:cs="Arial"/>
          <w:lang w:eastAsia="en-US"/>
        </w:rPr>
        <w:t>)(</w:t>
      </w:r>
      <w:proofErr w:type="gramEnd"/>
      <w:r w:rsidR="00733A6A" w:rsidRPr="00733A6A">
        <w:rPr>
          <w:rFonts w:ascii="Arial" w:hAnsi="Arial" w:cs="Arial"/>
          <w:lang w:eastAsia="en-US"/>
        </w:rPr>
        <w:t xml:space="preserve">i) for </w:t>
      </w:r>
      <w:r w:rsidR="00BF7FE7" w:rsidRPr="00733A6A">
        <w:rPr>
          <w:rFonts w:ascii="Arial" w:eastAsia="Calibri" w:hAnsi="Arial" w:cs="Arial"/>
          <w:lang w:val="af-ZA" w:eastAsia="en-US"/>
        </w:rPr>
        <w:t>the detailed list per User Department</w:t>
      </w:r>
      <w:r w:rsidR="00EA4AA1">
        <w:rPr>
          <w:rFonts w:ascii="Arial" w:eastAsia="Calibri" w:hAnsi="Arial" w:cs="Arial"/>
          <w:lang w:val="af-ZA" w:eastAsia="en-US"/>
        </w:rPr>
        <w:t>.</w:t>
      </w:r>
    </w:p>
    <w:p w:rsidR="00C12D17" w:rsidRPr="00055103" w:rsidRDefault="00C12D17" w:rsidP="007C2784">
      <w:pPr>
        <w:spacing w:before="100" w:beforeAutospacing="1" w:after="100" w:afterAutospacing="1" w:line="276" w:lineRule="auto"/>
        <w:ind w:left="1418" w:hanging="698"/>
        <w:outlineLvl w:val="0"/>
        <w:rPr>
          <w:rFonts w:eastAsia="Calibri" w:cs="Arial"/>
          <w:sz w:val="24"/>
          <w:szCs w:val="24"/>
          <w:lang w:val="af-ZA" w:eastAsia="en-US"/>
        </w:rPr>
      </w:pPr>
      <w:r w:rsidRPr="00055103">
        <w:rPr>
          <w:rFonts w:eastAsia="Calibri" w:cs="Arial"/>
          <w:sz w:val="24"/>
          <w:szCs w:val="24"/>
          <w:lang w:val="af-ZA" w:eastAsia="en-US"/>
        </w:rPr>
        <w:t>(c)</w:t>
      </w:r>
      <w:r w:rsidR="007C2784">
        <w:rPr>
          <w:rFonts w:eastAsia="Calibri" w:cs="Arial"/>
          <w:sz w:val="24"/>
          <w:szCs w:val="24"/>
          <w:lang w:val="af-ZA" w:eastAsia="en-US"/>
        </w:rPr>
        <w:tab/>
      </w:r>
      <w:r w:rsidR="004D75F4">
        <w:rPr>
          <w:rFonts w:eastAsia="Calibri" w:cs="Arial"/>
          <w:sz w:val="24"/>
          <w:szCs w:val="24"/>
          <w:lang w:val="af-ZA" w:eastAsia="en-US"/>
        </w:rPr>
        <w:t>93</w:t>
      </w:r>
      <w:r w:rsidR="00F81085">
        <w:rPr>
          <w:rFonts w:eastAsia="Calibri" w:cs="Arial"/>
          <w:sz w:val="24"/>
          <w:szCs w:val="24"/>
          <w:lang w:val="af-ZA" w:eastAsia="en-US"/>
        </w:rPr>
        <w:t>,</w:t>
      </w:r>
      <w:r w:rsidR="004D75F4">
        <w:rPr>
          <w:rFonts w:eastAsia="Calibri" w:cs="Arial"/>
          <w:sz w:val="24"/>
          <w:szCs w:val="24"/>
          <w:lang w:val="af-ZA" w:eastAsia="en-US"/>
        </w:rPr>
        <w:t>648</w:t>
      </w:r>
      <w:r w:rsidR="007C2784">
        <w:rPr>
          <w:rFonts w:eastAsia="Calibri" w:cs="Arial"/>
          <w:sz w:val="24"/>
          <w:szCs w:val="24"/>
          <w:lang w:val="af-ZA" w:eastAsia="en-US"/>
        </w:rPr>
        <w:t xml:space="preserve"> S</w:t>
      </w:r>
      <w:r w:rsidR="00AC73FF">
        <w:rPr>
          <w:rFonts w:eastAsia="Calibri" w:cs="Arial"/>
          <w:sz w:val="24"/>
          <w:szCs w:val="24"/>
          <w:lang w:val="af-ZA" w:eastAsia="en-US"/>
        </w:rPr>
        <w:t>tate-owned buildings on 18</w:t>
      </w:r>
      <w:r w:rsidR="00F81085">
        <w:rPr>
          <w:rFonts w:eastAsia="Calibri" w:cs="Arial"/>
          <w:sz w:val="24"/>
          <w:szCs w:val="24"/>
          <w:lang w:val="af-ZA" w:eastAsia="en-US"/>
        </w:rPr>
        <w:t>,</w:t>
      </w:r>
      <w:r w:rsidR="00AC73FF">
        <w:rPr>
          <w:rFonts w:eastAsia="Calibri" w:cs="Arial"/>
          <w:sz w:val="24"/>
          <w:szCs w:val="24"/>
          <w:lang w:val="af-ZA" w:eastAsia="en-US"/>
        </w:rPr>
        <w:t xml:space="preserve">267 </w:t>
      </w:r>
      <w:r w:rsidR="000606E7">
        <w:rPr>
          <w:rFonts w:eastAsia="Calibri" w:cs="Arial"/>
          <w:sz w:val="24"/>
          <w:szCs w:val="24"/>
          <w:lang w:val="af-ZA" w:eastAsia="en-US"/>
        </w:rPr>
        <w:t xml:space="preserve">land parcels </w:t>
      </w:r>
      <w:r w:rsidR="00AC73FF">
        <w:rPr>
          <w:rFonts w:eastAsia="Calibri" w:cs="Arial"/>
          <w:sz w:val="24"/>
          <w:szCs w:val="24"/>
          <w:lang w:val="af-ZA" w:eastAsia="en-US"/>
        </w:rPr>
        <w:t xml:space="preserve">are </w:t>
      </w:r>
      <w:r w:rsidRPr="00055103">
        <w:rPr>
          <w:rFonts w:eastAsia="Calibri" w:cs="Arial"/>
          <w:sz w:val="24"/>
          <w:szCs w:val="24"/>
          <w:lang w:val="af-ZA" w:eastAsia="en-US"/>
        </w:rPr>
        <w:t xml:space="preserve">leased out to </w:t>
      </w:r>
      <w:r w:rsidR="00F81085">
        <w:rPr>
          <w:rFonts w:eastAsia="Calibri" w:cs="Arial"/>
          <w:sz w:val="24"/>
          <w:szCs w:val="24"/>
          <w:lang w:val="af-ZA" w:eastAsia="en-US"/>
        </w:rPr>
        <w:t xml:space="preserve">User </w:t>
      </w:r>
      <w:r w:rsidRPr="00055103">
        <w:rPr>
          <w:rFonts w:eastAsia="Calibri" w:cs="Arial"/>
          <w:sz w:val="24"/>
          <w:szCs w:val="24"/>
          <w:lang w:val="af-ZA" w:eastAsia="en-US"/>
        </w:rPr>
        <w:t>department</w:t>
      </w:r>
      <w:r w:rsidR="009D21B9">
        <w:rPr>
          <w:rFonts w:eastAsia="Calibri" w:cs="Arial"/>
          <w:sz w:val="24"/>
          <w:szCs w:val="24"/>
          <w:lang w:val="af-ZA" w:eastAsia="en-US"/>
        </w:rPr>
        <w:t>s</w:t>
      </w:r>
      <w:r w:rsidR="00F81085">
        <w:rPr>
          <w:rFonts w:eastAsia="Calibri" w:cs="Arial"/>
          <w:sz w:val="24"/>
          <w:szCs w:val="24"/>
          <w:lang w:val="af-ZA" w:eastAsia="en-US"/>
        </w:rPr>
        <w:t xml:space="preserve"> and other entities</w:t>
      </w:r>
      <w:r w:rsidRPr="00055103">
        <w:rPr>
          <w:rFonts w:eastAsia="Calibri" w:cs="Arial"/>
          <w:sz w:val="24"/>
          <w:szCs w:val="24"/>
          <w:lang w:val="af-ZA" w:eastAsia="en-US"/>
        </w:rPr>
        <w:t>.</w:t>
      </w:r>
      <w:r w:rsidR="00F81085">
        <w:rPr>
          <w:rFonts w:eastAsia="Calibri" w:cs="Arial"/>
          <w:sz w:val="24"/>
          <w:szCs w:val="24"/>
          <w:lang w:val="af-ZA" w:eastAsia="en-US"/>
        </w:rPr>
        <w:t xml:space="preserve"> </w:t>
      </w:r>
      <w:r w:rsidR="00733A6A" w:rsidRPr="00733A6A">
        <w:rPr>
          <w:rFonts w:cs="Arial"/>
          <w:sz w:val="24"/>
          <w:szCs w:val="24"/>
          <w:lang w:eastAsia="en-US"/>
        </w:rPr>
        <w:t>Please refer to Annexure 1(a</w:t>
      </w:r>
      <w:proofErr w:type="gramStart"/>
      <w:r w:rsidR="00733A6A" w:rsidRPr="00733A6A">
        <w:rPr>
          <w:rFonts w:cs="Arial"/>
          <w:sz w:val="24"/>
          <w:szCs w:val="24"/>
          <w:lang w:eastAsia="en-US"/>
        </w:rPr>
        <w:t>)(</w:t>
      </w:r>
      <w:proofErr w:type="gramEnd"/>
      <w:r w:rsidR="00733A6A" w:rsidRPr="00733A6A">
        <w:rPr>
          <w:rFonts w:cs="Arial"/>
          <w:sz w:val="24"/>
          <w:szCs w:val="24"/>
          <w:lang w:eastAsia="en-US"/>
        </w:rPr>
        <w:t xml:space="preserve">i) for </w:t>
      </w:r>
      <w:r w:rsidR="00F81085">
        <w:rPr>
          <w:rFonts w:cs="Arial"/>
          <w:sz w:val="24"/>
          <w:szCs w:val="24"/>
          <w:lang w:eastAsia="en-US"/>
        </w:rPr>
        <w:t>the detailed list per province.</w:t>
      </w:r>
    </w:p>
    <w:p w:rsidR="00010EA9" w:rsidRDefault="007C2784" w:rsidP="007C2784">
      <w:pPr>
        <w:ind w:left="1418" w:hanging="1418"/>
        <w:rPr>
          <w:rFonts w:eastAsia="Calibri" w:cs="Arial"/>
          <w:sz w:val="24"/>
          <w:szCs w:val="24"/>
          <w:lang w:val="af-ZA" w:eastAsia="en-US"/>
        </w:rPr>
      </w:pPr>
      <w:r>
        <w:rPr>
          <w:rFonts w:eastAsia="Calibri" w:cs="Arial"/>
          <w:sz w:val="24"/>
          <w:szCs w:val="24"/>
          <w:lang w:val="af-ZA" w:eastAsia="en-US"/>
        </w:rPr>
        <w:t xml:space="preserve">(2) </w:t>
      </w:r>
      <w:r w:rsidR="00010EA9" w:rsidRPr="007C2784">
        <w:rPr>
          <w:rFonts w:eastAsia="Calibri" w:cs="Arial"/>
          <w:sz w:val="24"/>
          <w:szCs w:val="24"/>
          <w:lang w:val="af-ZA" w:eastAsia="en-US"/>
        </w:rPr>
        <w:t>(a)</w:t>
      </w:r>
      <w:r w:rsidR="00010EA9" w:rsidRPr="007C2784">
        <w:rPr>
          <w:rFonts w:eastAsia="Calibri" w:cs="Arial"/>
          <w:sz w:val="24"/>
          <w:szCs w:val="24"/>
          <w:lang w:val="af-ZA" w:eastAsia="en-US"/>
        </w:rPr>
        <w:tab/>
        <w:t xml:space="preserve">The Department of Public Works issues quarterly invoices in advance to 26 </w:t>
      </w:r>
      <w:r w:rsidR="00472253">
        <w:rPr>
          <w:rFonts w:eastAsia="Calibri" w:cs="Arial"/>
          <w:sz w:val="24"/>
          <w:szCs w:val="24"/>
          <w:lang w:val="af-ZA" w:eastAsia="en-US"/>
        </w:rPr>
        <w:t>national Government d</w:t>
      </w:r>
      <w:r w:rsidR="00010EA9" w:rsidRPr="007C2784">
        <w:rPr>
          <w:rFonts w:eastAsia="Calibri" w:cs="Arial"/>
          <w:sz w:val="24"/>
          <w:szCs w:val="24"/>
          <w:lang w:val="af-ZA" w:eastAsia="en-US"/>
        </w:rPr>
        <w:t>epartments as per devolved budget, which is equivalent to R324,501,155.00 per month.</w:t>
      </w:r>
    </w:p>
    <w:p w:rsidR="00EA4AA1" w:rsidRDefault="00EA4AA1" w:rsidP="007C2784">
      <w:pPr>
        <w:ind w:left="1418" w:hanging="1418"/>
        <w:rPr>
          <w:rFonts w:eastAsia="Calibri" w:cs="Arial"/>
          <w:sz w:val="24"/>
          <w:szCs w:val="24"/>
          <w:lang w:val="af-ZA" w:eastAsia="en-US"/>
        </w:rPr>
      </w:pPr>
    </w:p>
    <w:p w:rsidR="00EA4AA1" w:rsidRPr="007C2784" w:rsidRDefault="00EA4AA1" w:rsidP="007C2784">
      <w:pPr>
        <w:ind w:left="1418" w:hanging="1418"/>
        <w:rPr>
          <w:rFonts w:eastAsia="Calibri" w:cs="Arial"/>
          <w:sz w:val="24"/>
          <w:szCs w:val="24"/>
          <w:lang w:val="af-ZA" w:eastAsia="en-US"/>
        </w:rPr>
      </w:pPr>
      <w:r>
        <w:rPr>
          <w:rFonts w:eastAsia="Calibri" w:cs="Arial"/>
          <w:sz w:val="24"/>
          <w:szCs w:val="24"/>
          <w:lang w:val="af-ZA" w:eastAsia="en-US"/>
        </w:rPr>
        <w:tab/>
        <w:t>While it is possible to indicate how much each Department is currently paying, it is not possible to aggregate the information down per facility or per province, as the amount is paid at the National level.</w:t>
      </w:r>
    </w:p>
    <w:p w:rsidR="00010EA9" w:rsidRDefault="00010EA9" w:rsidP="007C2784">
      <w:pPr>
        <w:ind w:left="720"/>
        <w:rPr>
          <w:rFonts w:eastAsia="Calibri" w:cs="Arial"/>
          <w:sz w:val="24"/>
          <w:szCs w:val="24"/>
          <w:lang w:val="af-ZA" w:eastAsia="en-US"/>
        </w:rPr>
      </w:pPr>
    </w:p>
    <w:tbl>
      <w:tblPr>
        <w:tblpPr w:leftFromText="180" w:rightFromText="180" w:vertAnchor="text" w:horzAnchor="margin" w:tblpXSpec="right" w:tblpY="203"/>
        <w:tblW w:w="0" w:type="auto"/>
        <w:tblLayout w:type="fixed"/>
        <w:tblLook w:val="04A0" w:firstRow="1" w:lastRow="0" w:firstColumn="1" w:lastColumn="0" w:noHBand="0" w:noVBand="1"/>
      </w:tblPr>
      <w:tblGrid>
        <w:gridCol w:w="5389"/>
        <w:gridCol w:w="2862"/>
      </w:tblGrid>
      <w:tr w:rsidR="00472253" w:rsidTr="00472253">
        <w:trPr>
          <w:trHeight w:val="431"/>
        </w:trPr>
        <w:tc>
          <w:tcPr>
            <w:tcW w:w="5389" w:type="dxa"/>
            <w:tcBorders>
              <w:top w:val="single" w:sz="8" w:space="0" w:color="auto"/>
              <w:left w:val="single" w:sz="8" w:space="0" w:color="auto"/>
              <w:bottom w:val="single" w:sz="4" w:space="0" w:color="auto"/>
              <w:right w:val="single" w:sz="8" w:space="0" w:color="auto"/>
            </w:tcBorders>
            <w:hideMark/>
          </w:tcPr>
          <w:p w:rsidR="00472253" w:rsidRDefault="00472253" w:rsidP="00472253">
            <w:pPr>
              <w:jc w:val="left"/>
              <w:rPr>
                <w:rFonts w:cs="Arial"/>
                <w:b/>
                <w:bCs/>
                <w:sz w:val="24"/>
                <w:szCs w:val="24"/>
                <w:lang w:val="en-US" w:eastAsia="en-US"/>
              </w:rPr>
            </w:pPr>
            <w:r>
              <w:rPr>
                <w:rFonts w:cs="Arial"/>
                <w:b/>
                <w:bCs/>
                <w:sz w:val="24"/>
                <w:szCs w:val="24"/>
                <w:lang w:val="en-US" w:eastAsia="en-US"/>
              </w:rPr>
              <w:t>Client Department</w:t>
            </w:r>
          </w:p>
        </w:tc>
        <w:tc>
          <w:tcPr>
            <w:tcW w:w="2862" w:type="dxa"/>
            <w:tcBorders>
              <w:top w:val="single" w:sz="8" w:space="0" w:color="auto"/>
              <w:left w:val="nil"/>
              <w:bottom w:val="single" w:sz="4" w:space="0" w:color="auto"/>
              <w:right w:val="single" w:sz="8" w:space="0" w:color="auto"/>
            </w:tcBorders>
            <w:hideMark/>
          </w:tcPr>
          <w:p w:rsidR="00472253" w:rsidRDefault="00472253" w:rsidP="00472253">
            <w:pPr>
              <w:jc w:val="left"/>
              <w:rPr>
                <w:rFonts w:cs="Arial"/>
                <w:b/>
                <w:bCs/>
                <w:sz w:val="24"/>
                <w:szCs w:val="24"/>
                <w:lang w:val="en-US" w:eastAsia="en-US"/>
              </w:rPr>
            </w:pPr>
            <w:r>
              <w:rPr>
                <w:rFonts w:cs="Arial"/>
                <w:b/>
                <w:bCs/>
                <w:sz w:val="24"/>
                <w:szCs w:val="24"/>
                <w:lang w:val="en-US" w:eastAsia="en-US"/>
              </w:rPr>
              <w:t>Monthly             R’</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Agriculture, Forestry and Fisheries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7,194,961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Arts and Culture</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2,927,866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Communications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72,912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Correctional Services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80,945,700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Defence and Military Veterans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76,259,000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Environmental Affairs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1,469,968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GCIS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2,348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Health</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1,136,584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Health (Civitas)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6,747,110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Higher Education</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61,012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Home Affairs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3,507,473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Human Settlements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37,211 </w:t>
            </w:r>
          </w:p>
        </w:tc>
      </w:tr>
      <w:tr w:rsidR="00472253" w:rsidTr="00472253">
        <w:trPr>
          <w:trHeight w:val="270"/>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Independent Police Investigative Directorate</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30,000 </w:t>
            </w:r>
          </w:p>
        </w:tc>
      </w:tr>
      <w:tr w:rsidR="00472253" w:rsidTr="00472253">
        <w:trPr>
          <w:trHeight w:val="270"/>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Justice and Constitutional Development</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28,887,083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proofErr w:type="spellStart"/>
            <w:r>
              <w:rPr>
                <w:rFonts w:cs="Arial"/>
                <w:sz w:val="24"/>
                <w:szCs w:val="24"/>
                <w:lang w:val="en-US" w:eastAsia="en-US"/>
              </w:rPr>
              <w:t>Labour</w:t>
            </w:r>
            <w:proofErr w:type="spellEnd"/>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4,121,270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Mineral Resources</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227,787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National Treasury</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426,574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Public Service and Admin</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21,622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Rural Development and Land Reform</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2,243,767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SA Police Service</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95,563,167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SA Revenue Service</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2,415,808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Social Development</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39,724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EA4AA1" w:rsidP="00472253">
            <w:pPr>
              <w:jc w:val="left"/>
              <w:rPr>
                <w:rFonts w:cs="Arial"/>
                <w:sz w:val="24"/>
                <w:szCs w:val="24"/>
                <w:lang w:val="en-US" w:eastAsia="en-US"/>
              </w:rPr>
            </w:pPr>
            <w:r>
              <w:rPr>
                <w:rFonts w:cs="Arial"/>
                <w:sz w:val="24"/>
                <w:szCs w:val="24"/>
                <w:lang w:val="en-US" w:eastAsia="en-US"/>
              </w:rPr>
              <w:t>Sport</w:t>
            </w:r>
            <w:r w:rsidR="00472253">
              <w:rPr>
                <w:rFonts w:cs="Arial"/>
                <w:sz w:val="24"/>
                <w:szCs w:val="24"/>
                <w:lang w:val="en-US" w:eastAsia="en-US"/>
              </w:rPr>
              <w:t xml:space="preserve"> and Recreation</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838 </w:t>
            </w:r>
          </w:p>
        </w:tc>
      </w:tr>
      <w:tr w:rsidR="00472253" w:rsidTr="00472253">
        <w:trPr>
          <w:trHeight w:val="270"/>
        </w:trPr>
        <w:tc>
          <w:tcPr>
            <w:tcW w:w="5389" w:type="dxa"/>
            <w:tcBorders>
              <w:top w:val="nil"/>
              <w:left w:val="single" w:sz="8" w:space="0" w:color="auto"/>
              <w:bottom w:val="single" w:sz="4"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Statistics SA</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259,603 </w:t>
            </w:r>
          </w:p>
        </w:tc>
      </w:tr>
      <w:tr w:rsidR="00472253" w:rsidTr="00472253">
        <w:trPr>
          <w:trHeight w:val="255"/>
        </w:trPr>
        <w:tc>
          <w:tcPr>
            <w:tcW w:w="5389" w:type="dxa"/>
            <w:tcBorders>
              <w:top w:val="nil"/>
              <w:left w:val="single" w:sz="8" w:space="0" w:color="auto"/>
              <w:bottom w:val="single" w:sz="4" w:space="0" w:color="auto"/>
              <w:right w:val="single" w:sz="8" w:space="0" w:color="auto"/>
            </w:tcBorders>
            <w:noWrap/>
            <w:hideMark/>
          </w:tcPr>
          <w:p w:rsidR="00472253" w:rsidRDefault="00EA4AA1" w:rsidP="00472253">
            <w:pPr>
              <w:jc w:val="left"/>
              <w:rPr>
                <w:rFonts w:cs="Arial"/>
                <w:sz w:val="24"/>
                <w:szCs w:val="24"/>
                <w:lang w:val="en-US" w:eastAsia="en-US"/>
              </w:rPr>
            </w:pPr>
            <w:r>
              <w:rPr>
                <w:rFonts w:cs="Arial"/>
                <w:sz w:val="24"/>
                <w:szCs w:val="24"/>
                <w:lang w:val="en-US" w:eastAsia="en-US"/>
              </w:rPr>
              <w:t>Trade and I</w:t>
            </w:r>
            <w:r w:rsidR="00472253">
              <w:rPr>
                <w:rFonts w:cs="Arial"/>
                <w:sz w:val="24"/>
                <w:szCs w:val="24"/>
                <w:lang w:val="en-US" w:eastAsia="en-US"/>
              </w:rPr>
              <w:t>ndustry</w:t>
            </w:r>
          </w:p>
        </w:tc>
        <w:tc>
          <w:tcPr>
            <w:tcW w:w="2862" w:type="dxa"/>
            <w:tcBorders>
              <w:top w:val="nil"/>
              <w:left w:val="nil"/>
              <w:bottom w:val="single" w:sz="4"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2,682 </w:t>
            </w:r>
          </w:p>
        </w:tc>
      </w:tr>
      <w:tr w:rsidR="00472253" w:rsidTr="00472253">
        <w:trPr>
          <w:trHeight w:val="270"/>
        </w:trPr>
        <w:tc>
          <w:tcPr>
            <w:tcW w:w="5389" w:type="dxa"/>
            <w:tcBorders>
              <w:top w:val="nil"/>
              <w:left w:val="single" w:sz="8" w:space="0" w:color="auto"/>
              <w:bottom w:val="single" w:sz="8" w:space="0" w:color="auto"/>
              <w:right w:val="single" w:sz="8" w:space="0" w:color="auto"/>
            </w:tcBorders>
            <w:noWrap/>
            <w:hideMark/>
          </w:tcPr>
          <w:p w:rsidR="00472253" w:rsidRDefault="00472253" w:rsidP="00472253">
            <w:pPr>
              <w:jc w:val="left"/>
              <w:rPr>
                <w:rFonts w:cs="Arial"/>
                <w:sz w:val="24"/>
                <w:szCs w:val="24"/>
                <w:lang w:val="en-US" w:eastAsia="en-US"/>
              </w:rPr>
            </w:pPr>
            <w:r>
              <w:rPr>
                <w:rFonts w:cs="Arial"/>
                <w:sz w:val="24"/>
                <w:szCs w:val="24"/>
                <w:lang w:val="en-US" w:eastAsia="en-US"/>
              </w:rPr>
              <w:t>Water Affairs</w:t>
            </w:r>
          </w:p>
        </w:tc>
        <w:tc>
          <w:tcPr>
            <w:tcW w:w="2862" w:type="dxa"/>
            <w:tcBorders>
              <w:top w:val="nil"/>
              <w:left w:val="nil"/>
              <w:bottom w:val="single" w:sz="8" w:space="0" w:color="auto"/>
              <w:right w:val="single" w:sz="8" w:space="0" w:color="auto"/>
            </w:tcBorders>
            <w:noWrap/>
            <w:hideMark/>
          </w:tcPr>
          <w:p w:rsidR="00472253" w:rsidRDefault="00472253" w:rsidP="00472253">
            <w:pPr>
              <w:jc w:val="right"/>
              <w:rPr>
                <w:rFonts w:cs="Arial"/>
                <w:sz w:val="24"/>
                <w:szCs w:val="24"/>
                <w:lang w:val="en-US" w:eastAsia="en-US"/>
              </w:rPr>
            </w:pPr>
            <w:r>
              <w:rPr>
                <w:rFonts w:cs="Arial"/>
                <w:sz w:val="24"/>
                <w:szCs w:val="24"/>
                <w:lang w:val="en-US" w:eastAsia="en-US"/>
              </w:rPr>
              <w:t xml:space="preserve">                   9,899,088 </w:t>
            </w:r>
          </w:p>
        </w:tc>
      </w:tr>
      <w:tr w:rsidR="00472253" w:rsidTr="00472253">
        <w:trPr>
          <w:trHeight w:val="270"/>
        </w:trPr>
        <w:tc>
          <w:tcPr>
            <w:tcW w:w="5389" w:type="dxa"/>
            <w:tcBorders>
              <w:top w:val="nil"/>
              <w:left w:val="single" w:sz="8" w:space="0" w:color="auto"/>
              <w:bottom w:val="single" w:sz="8" w:space="0" w:color="auto"/>
              <w:right w:val="single" w:sz="8" w:space="0" w:color="auto"/>
            </w:tcBorders>
            <w:noWrap/>
            <w:hideMark/>
          </w:tcPr>
          <w:p w:rsidR="00472253" w:rsidRDefault="00472253" w:rsidP="00472253">
            <w:pPr>
              <w:jc w:val="left"/>
              <w:rPr>
                <w:rFonts w:cs="Arial"/>
                <w:b/>
                <w:bCs/>
                <w:sz w:val="24"/>
                <w:szCs w:val="24"/>
                <w:lang w:val="en-US" w:eastAsia="en-US"/>
              </w:rPr>
            </w:pPr>
            <w:r>
              <w:rPr>
                <w:rFonts w:cs="Arial"/>
                <w:b/>
                <w:bCs/>
                <w:sz w:val="24"/>
                <w:szCs w:val="24"/>
                <w:lang w:val="en-US" w:eastAsia="en-US"/>
              </w:rPr>
              <w:t>TOTAL</w:t>
            </w:r>
          </w:p>
        </w:tc>
        <w:tc>
          <w:tcPr>
            <w:tcW w:w="2862" w:type="dxa"/>
            <w:tcBorders>
              <w:top w:val="nil"/>
              <w:left w:val="single" w:sz="8" w:space="0" w:color="auto"/>
              <w:bottom w:val="single" w:sz="8" w:space="0" w:color="auto"/>
              <w:right w:val="single" w:sz="8" w:space="0" w:color="auto"/>
            </w:tcBorders>
            <w:noWrap/>
            <w:hideMark/>
          </w:tcPr>
          <w:p w:rsidR="00472253" w:rsidRDefault="00472253" w:rsidP="00472253">
            <w:pPr>
              <w:jc w:val="right"/>
              <w:rPr>
                <w:rFonts w:cs="Arial"/>
                <w:b/>
                <w:bCs/>
                <w:sz w:val="24"/>
                <w:szCs w:val="24"/>
                <w:lang w:val="en-US" w:eastAsia="en-US"/>
              </w:rPr>
            </w:pPr>
            <w:r>
              <w:rPr>
                <w:rFonts w:cs="Arial"/>
                <w:b/>
                <w:bCs/>
                <w:sz w:val="24"/>
                <w:szCs w:val="24"/>
                <w:lang w:val="en-US" w:eastAsia="en-US"/>
              </w:rPr>
              <w:t xml:space="preserve">                324,501,155 </w:t>
            </w:r>
          </w:p>
        </w:tc>
      </w:tr>
    </w:tbl>
    <w:p w:rsidR="00472253" w:rsidRDefault="00472253" w:rsidP="007C2784">
      <w:pPr>
        <w:ind w:left="720"/>
        <w:rPr>
          <w:rFonts w:eastAsia="Calibri" w:cs="Arial"/>
          <w:sz w:val="24"/>
          <w:szCs w:val="24"/>
          <w:lang w:val="af-ZA" w:eastAsia="en-US"/>
        </w:rPr>
      </w:pPr>
    </w:p>
    <w:p w:rsidR="00472253" w:rsidRDefault="00472253" w:rsidP="007C2784">
      <w:pPr>
        <w:ind w:left="720"/>
        <w:rPr>
          <w:rFonts w:eastAsia="Calibri" w:cs="Arial"/>
          <w:sz w:val="24"/>
          <w:szCs w:val="24"/>
          <w:lang w:val="af-ZA" w:eastAsia="en-US"/>
        </w:rPr>
      </w:pPr>
    </w:p>
    <w:p w:rsidR="00472253" w:rsidRDefault="00472253" w:rsidP="007C2784">
      <w:pPr>
        <w:ind w:left="720"/>
        <w:rPr>
          <w:rFonts w:eastAsia="Calibri" w:cs="Arial"/>
          <w:sz w:val="24"/>
          <w:szCs w:val="24"/>
          <w:lang w:val="af-ZA" w:eastAsia="en-US"/>
        </w:rPr>
      </w:pPr>
    </w:p>
    <w:p w:rsidR="00472253" w:rsidRDefault="00472253" w:rsidP="007C2784">
      <w:pPr>
        <w:ind w:left="720"/>
        <w:rPr>
          <w:rFonts w:eastAsia="Calibri" w:cs="Arial"/>
          <w:sz w:val="24"/>
          <w:szCs w:val="24"/>
          <w:lang w:val="af-ZA" w:eastAsia="en-US"/>
        </w:rPr>
      </w:pPr>
    </w:p>
    <w:p w:rsidR="00472253" w:rsidRDefault="00472253" w:rsidP="007C2784">
      <w:pPr>
        <w:ind w:left="720"/>
        <w:rPr>
          <w:rFonts w:eastAsia="Calibri" w:cs="Arial"/>
          <w:sz w:val="24"/>
          <w:szCs w:val="24"/>
          <w:lang w:val="af-ZA" w:eastAsia="en-US"/>
        </w:rPr>
      </w:pPr>
    </w:p>
    <w:p w:rsidR="00472253" w:rsidRDefault="00472253" w:rsidP="007C2784">
      <w:pPr>
        <w:ind w:left="720"/>
        <w:rPr>
          <w:rFonts w:eastAsia="Calibri" w:cs="Arial"/>
          <w:sz w:val="24"/>
          <w:szCs w:val="24"/>
          <w:lang w:val="af-ZA" w:eastAsia="en-US"/>
        </w:rPr>
      </w:pPr>
    </w:p>
    <w:p w:rsidR="00010EA9" w:rsidRPr="00010EA9" w:rsidRDefault="00010EA9" w:rsidP="00010EA9">
      <w:pPr>
        <w:tabs>
          <w:tab w:val="left" w:pos="1440"/>
          <w:tab w:val="left" w:pos="1980"/>
        </w:tabs>
        <w:rPr>
          <w:rFonts w:eastAsia="Calibri" w:cs="Arial"/>
          <w:sz w:val="24"/>
          <w:szCs w:val="24"/>
          <w:lang w:val="af-ZA" w:eastAsia="en-US"/>
        </w:rPr>
      </w:pPr>
    </w:p>
    <w:p w:rsidR="00335139" w:rsidRPr="00774E44" w:rsidRDefault="00335139" w:rsidP="00335139">
      <w:pPr>
        <w:ind w:left="2160"/>
        <w:rPr>
          <w:rFonts w:eastAsia="Calibri" w:cs="Arial"/>
          <w:sz w:val="24"/>
          <w:szCs w:val="24"/>
          <w:lang w:val="af-ZA" w:eastAsia="en-US"/>
        </w:rPr>
      </w:pPr>
    </w:p>
    <w:p w:rsidR="00774E44" w:rsidRPr="00A546B6" w:rsidRDefault="00774E44" w:rsidP="00335139">
      <w:pPr>
        <w:ind w:left="2160"/>
        <w:rPr>
          <w:rFonts w:ascii="Times New Roman" w:hAnsi="Times New Roman"/>
          <w:sz w:val="20"/>
          <w:lang w:val="en-US" w:eastAsia="en-US"/>
        </w:rPr>
      </w:pPr>
      <w:r w:rsidRPr="00A546B6">
        <w:rPr>
          <w:rFonts w:eastAsia="Calibri"/>
          <w:lang w:val="af-ZA" w:eastAsia="en-US"/>
        </w:rPr>
        <w:fldChar w:fldCharType="begin"/>
      </w:r>
      <w:r w:rsidRPr="00A546B6">
        <w:rPr>
          <w:rFonts w:eastAsia="Calibri"/>
          <w:lang w:val="af-ZA" w:eastAsia="en-US"/>
        </w:rPr>
        <w:instrText xml:space="preserve"> LINK Excel.Sheet.12 "C:\\Users\\Mandla Sithole\\AppData\\Local\\Microsoft\\Windows\\INetCache\\Content.Outlook\\V9JN0FN0\\Book1 (3).xlsx" "Sheet1!R1C1:R28C3" \a \f 4 \h  \* MERGEFORMAT </w:instrText>
      </w:r>
      <w:r w:rsidRPr="00A546B6">
        <w:rPr>
          <w:rFonts w:eastAsia="Calibri"/>
          <w:lang w:val="af-ZA" w:eastAsia="en-US"/>
        </w:rPr>
        <w:fldChar w:fldCharType="separate"/>
      </w:r>
    </w:p>
    <w:p w:rsidR="008D76F1" w:rsidRPr="00E02D89" w:rsidRDefault="00774E44" w:rsidP="00335139">
      <w:pPr>
        <w:ind w:left="2160"/>
        <w:rPr>
          <w:rFonts w:eastAsia="Calibri" w:cs="Arial"/>
          <w:sz w:val="24"/>
          <w:szCs w:val="24"/>
          <w:lang w:val="af-ZA" w:eastAsia="en-US"/>
        </w:rPr>
      </w:pPr>
      <w:r w:rsidRPr="00A546B6">
        <w:rPr>
          <w:rFonts w:eastAsia="Calibri" w:cs="Arial"/>
          <w:color w:val="31849B" w:themeColor="accent5" w:themeShade="BF"/>
          <w:sz w:val="24"/>
          <w:szCs w:val="24"/>
          <w:lang w:val="af-ZA" w:eastAsia="en-US"/>
        </w:rPr>
        <w:fldChar w:fldCharType="end"/>
      </w:r>
    </w:p>
    <w:p w:rsidR="00010EA9" w:rsidRDefault="00510577" w:rsidP="00FE5055">
      <w:pPr>
        <w:spacing w:before="100" w:beforeAutospacing="1" w:after="100" w:afterAutospacing="1" w:line="276" w:lineRule="auto"/>
        <w:ind w:left="2160" w:hanging="720"/>
        <w:outlineLvl w:val="0"/>
        <w:rPr>
          <w:rFonts w:eastAsia="Calibri" w:cs="Arial"/>
          <w:sz w:val="24"/>
          <w:szCs w:val="24"/>
          <w:lang w:val="af-ZA" w:eastAsia="en-US"/>
        </w:rPr>
      </w:pPr>
      <w:r w:rsidRPr="00E02D89">
        <w:rPr>
          <w:rFonts w:eastAsia="Calibri" w:cs="Arial"/>
          <w:sz w:val="24"/>
          <w:szCs w:val="24"/>
          <w:lang w:val="af-ZA" w:eastAsia="en-US"/>
        </w:rPr>
        <w:t xml:space="preserve"> </w:t>
      </w:r>
    </w:p>
    <w:p w:rsidR="00010EA9" w:rsidRDefault="00010EA9" w:rsidP="00FE5055">
      <w:pPr>
        <w:spacing w:before="100" w:beforeAutospacing="1" w:after="100" w:afterAutospacing="1" w:line="276" w:lineRule="auto"/>
        <w:ind w:left="2160" w:hanging="720"/>
        <w:outlineLvl w:val="0"/>
        <w:rPr>
          <w:rFonts w:eastAsia="Calibri" w:cs="Arial"/>
          <w:sz w:val="24"/>
          <w:szCs w:val="24"/>
          <w:lang w:val="af-ZA" w:eastAsia="en-US"/>
        </w:rPr>
      </w:pPr>
    </w:p>
    <w:p w:rsidR="00010EA9" w:rsidRDefault="00010EA9" w:rsidP="00FE5055">
      <w:pPr>
        <w:spacing w:before="100" w:beforeAutospacing="1" w:after="100" w:afterAutospacing="1" w:line="276" w:lineRule="auto"/>
        <w:ind w:left="2160" w:hanging="720"/>
        <w:outlineLvl w:val="0"/>
        <w:rPr>
          <w:rFonts w:eastAsia="Calibri" w:cs="Arial"/>
          <w:sz w:val="24"/>
          <w:szCs w:val="24"/>
          <w:lang w:val="af-ZA" w:eastAsia="en-US"/>
        </w:rPr>
      </w:pPr>
    </w:p>
    <w:p w:rsidR="00010EA9" w:rsidRDefault="00010EA9" w:rsidP="00FE5055">
      <w:pPr>
        <w:spacing w:before="100" w:beforeAutospacing="1" w:after="100" w:afterAutospacing="1" w:line="276" w:lineRule="auto"/>
        <w:ind w:left="2160" w:hanging="720"/>
        <w:outlineLvl w:val="0"/>
        <w:rPr>
          <w:rFonts w:eastAsia="Calibri" w:cs="Arial"/>
          <w:sz w:val="24"/>
          <w:szCs w:val="24"/>
          <w:lang w:val="af-ZA" w:eastAsia="en-US"/>
        </w:rPr>
      </w:pPr>
    </w:p>
    <w:p w:rsidR="00010EA9" w:rsidRDefault="00010EA9" w:rsidP="00FE5055">
      <w:pPr>
        <w:spacing w:before="100" w:beforeAutospacing="1" w:after="100" w:afterAutospacing="1" w:line="276" w:lineRule="auto"/>
        <w:ind w:left="2160" w:hanging="720"/>
        <w:outlineLvl w:val="0"/>
        <w:rPr>
          <w:rFonts w:eastAsia="Calibri" w:cs="Arial"/>
          <w:sz w:val="24"/>
          <w:szCs w:val="24"/>
          <w:lang w:val="af-ZA" w:eastAsia="en-US"/>
        </w:rPr>
      </w:pPr>
    </w:p>
    <w:p w:rsidR="000E14FF" w:rsidRPr="000E14FF" w:rsidRDefault="000E14FF" w:rsidP="00937DC0">
      <w:pPr>
        <w:spacing w:before="100" w:beforeAutospacing="1" w:after="100" w:afterAutospacing="1" w:line="276" w:lineRule="auto"/>
        <w:ind w:left="1980" w:hanging="540"/>
        <w:outlineLvl w:val="0"/>
        <w:rPr>
          <w:rFonts w:eastAsia="+mn-ea" w:cs="Arial"/>
          <w:kern w:val="24"/>
          <w:sz w:val="16"/>
          <w:szCs w:val="16"/>
          <w:lang w:eastAsia="en-ZA"/>
        </w:rPr>
      </w:pPr>
    </w:p>
    <w:p w:rsidR="00472253" w:rsidRDefault="00472253" w:rsidP="00472253">
      <w:pPr>
        <w:spacing w:before="100" w:beforeAutospacing="1" w:after="100" w:afterAutospacing="1" w:line="276" w:lineRule="auto"/>
        <w:ind w:left="1560" w:hanging="540"/>
        <w:outlineLvl w:val="0"/>
        <w:rPr>
          <w:rFonts w:eastAsia="+mn-ea" w:cs="Arial"/>
          <w:kern w:val="24"/>
          <w:sz w:val="24"/>
          <w:szCs w:val="24"/>
          <w:lang w:eastAsia="en-ZA"/>
        </w:rPr>
      </w:pPr>
    </w:p>
    <w:p w:rsidR="00472253" w:rsidRDefault="00472253" w:rsidP="00472253">
      <w:pPr>
        <w:spacing w:before="100" w:beforeAutospacing="1" w:after="100" w:afterAutospacing="1" w:line="276" w:lineRule="auto"/>
        <w:ind w:left="1560" w:hanging="540"/>
        <w:outlineLvl w:val="0"/>
        <w:rPr>
          <w:rFonts w:eastAsia="+mn-ea" w:cs="Arial"/>
          <w:kern w:val="24"/>
          <w:sz w:val="24"/>
          <w:szCs w:val="24"/>
          <w:lang w:eastAsia="en-ZA"/>
        </w:rPr>
      </w:pPr>
    </w:p>
    <w:p w:rsidR="00472253" w:rsidRDefault="00472253" w:rsidP="00472253">
      <w:pPr>
        <w:spacing w:before="100" w:beforeAutospacing="1" w:after="100" w:afterAutospacing="1" w:line="276" w:lineRule="auto"/>
        <w:ind w:left="1560" w:hanging="540"/>
        <w:outlineLvl w:val="0"/>
        <w:rPr>
          <w:rFonts w:eastAsia="+mn-ea" w:cs="Arial"/>
          <w:kern w:val="24"/>
          <w:sz w:val="24"/>
          <w:szCs w:val="24"/>
          <w:lang w:eastAsia="en-ZA"/>
        </w:rPr>
      </w:pPr>
    </w:p>
    <w:p w:rsidR="00472253" w:rsidRDefault="00472253" w:rsidP="00472253">
      <w:pPr>
        <w:spacing w:before="100" w:beforeAutospacing="1" w:after="100" w:afterAutospacing="1" w:line="276" w:lineRule="auto"/>
        <w:ind w:left="1560" w:hanging="540"/>
        <w:outlineLvl w:val="0"/>
        <w:rPr>
          <w:rFonts w:eastAsia="+mn-ea" w:cs="Arial"/>
          <w:kern w:val="24"/>
          <w:sz w:val="24"/>
          <w:szCs w:val="24"/>
          <w:lang w:eastAsia="en-ZA"/>
        </w:rPr>
      </w:pPr>
    </w:p>
    <w:p w:rsidR="00010EA9" w:rsidRDefault="00010EA9" w:rsidP="00701428">
      <w:pPr>
        <w:spacing w:before="100" w:beforeAutospacing="1" w:after="100" w:afterAutospacing="1" w:line="276" w:lineRule="auto"/>
        <w:ind w:left="1418" w:hanging="540"/>
        <w:outlineLvl w:val="0"/>
        <w:rPr>
          <w:rFonts w:eastAsia="+mn-ea" w:cs="Arial"/>
          <w:kern w:val="24"/>
          <w:sz w:val="24"/>
          <w:szCs w:val="24"/>
          <w:lang w:eastAsia="en-ZA"/>
        </w:rPr>
      </w:pPr>
      <w:r w:rsidRPr="00E969BE">
        <w:rPr>
          <w:rFonts w:eastAsia="+mn-ea" w:cs="Arial"/>
          <w:kern w:val="24"/>
          <w:sz w:val="24"/>
          <w:szCs w:val="24"/>
          <w:lang w:eastAsia="en-ZA"/>
        </w:rPr>
        <w:t>(b)</w:t>
      </w:r>
      <w:r w:rsidRPr="00E969BE">
        <w:rPr>
          <w:rFonts w:eastAsia="+mn-ea" w:cs="Arial"/>
          <w:kern w:val="24"/>
          <w:sz w:val="24"/>
          <w:szCs w:val="24"/>
          <w:lang w:eastAsia="en-ZA"/>
        </w:rPr>
        <w:tab/>
      </w:r>
      <w:r w:rsidR="00472253">
        <w:rPr>
          <w:rFonts w:eastAsia="+mn-ea" w:cs="Arial"/>
          <w:kern w:val="24"/>
          <w:sz w:val="24"/>
          <w:szCs w:val="24"/>
          <w:lang w:eastAsia="en-ZA"/>
        </w:rPr>
        <w:t>The purp</w:t>
      </w:r>
      <w:r>
        <w:rPr>
          <w:rFonts w:eastAsia="+mn-ea" w:cs="Arial"/>
          <w:kern w:val="24"/>
          <w:sz w:val="24"/>
          <w:szCs w:val="24"/>
          <w:lang w:eastAsia="en-ZA"/>
        </w:rPr>
        <w:t xml:space="preserve">ose of accommodation charges, whilst engendering the culture of total cost of accommodation within User departments, is to collect enough revenue, at </w:t>
      </w:r>
      <w:r w:rsidR="00701428">
        <w:rPr>
          <w:rFonts w:eastAsia="+mn-ea" w:cs="Arial"/>
          <w:kern w:val="24"/>
          <w:sz w:val="24"/>
          <w:szCs w:val="24"/>
          <w:lang w:eastAsia="en-ZA"/>
        </w:rPr>
        <w:t>a minimum, to main</w:t>
      </w:r>
      <w:r>
        <w:rPr>
          <w:rFonts w:eastAsia="+mn-ea" w:cs="Arial"/>
          <w:kern w:val="24"/>
          <w:sz w:val="24"/>
          <w:szCs w:val="24"/>
          <w:lang w:eastAsia="en-ZA"/>
        </w:rPr>
        <w:t xml:space="preserve">tain the entity’s portfolio at a specific </w:t>
      </w:r>
      <w:r w:rsidR="00701428">
        <w:rPr>
          <w:rFonts w:eastAsia="+mn-ea" w:cs="Arial"/>
          <w:kern w:val="24"/>
          <w:sz w:val="24"/>
          <w:szCs w:val="24"/>
          <w:lang w:eastAsia="en-ZA"/>
        </w:rPr>
        <w:t xml:space="preserve">conditionality </w:t>
      </w:r>
      <w:r>
        <w:rPr>
          <w:rFonts w:eastAsia="+mn-ea" w:cs="Arial"/>
          <w:kern w:val="24"/>
          <w:sz w:val="24"/>
          <w:szCs w:val="24"/>
          <w:lang w:eastAsia="en-ZA"/>
        </w:rPr>
        <w:t>level.</w:t>
      </w:r>
    </w:p>
    <w:p w:rsidR="00010EA9" w:rsidRDefault="00010EA9" w:rsidP="00472253">
      <w:pPr>
        <w:spacing w:before="100" w:beforeAutospacing="1" w:after="100" w:afterAutospacing="1" w:line="276" w:lineRule="auto"/>
        <w:ind w:left="1440"/>
        <w:outlineLvl w:val="0"/>
        <w:rPr>
          <w:rFonts w:eastAsia="+mn-ea" w:cs="Arial"/>
          <w:kern w:val="24"/>
          <w:sz w:val="24"/>
          <w:szCs w:val="24"/>
          <w:lang w:eastAsia="en-ZA"/>
        </w:rPr>
      </w:pPr>
      <w:r>
        <w:rPr>
          <w:rFonts w:eastAsia="+mn-ea" w:cs="Arial"/>
          <w:kern w:val="24"/>
          <w:sz w:val="24"/>
          <w:szCs w:val="24"/>
          <w:lang w:eastAsia="en-ZA"/>
        </w:rPr>
        <w:t>The current rate</w:t>
      </w:r>
      <w:r w:rsidR="00701428">
        <w:rPr>
          <w:rFonts w:eastAsia="+mn-ea" w:cs="Arial"/>
          <w:kern w:val="24"/>
          <w:sz w:val="24"/>
          <w:szCs w:val="24"/>
          <w:lang w:eastAsia="en-ZA"/>
        </w:rPr>
        <w:t>s</w:t>
      </w:r>
      <w:r>
        <w:rPr>
          <w:rFonts w:eastAsia="+mn-ea" w:cs="Arial"/>
          <w:kern w:val="24"/>
          <w:sz w:val="24"/>
          <w:szCs w:val="24"/>
          <w:lang w:eastAsia="en-ZA"/>
        </w:rPr>
        <w:t xml:space="preserve"> charged </w:t>
      </w:r>
      <w:r w:rsidR="00701428">
        <w:rPr>
          <w:rFonts w:eastAsia="+mn-ea" w:cs="Arial"/>
          <w:kern w:val="24"/>
          <w:sz w:val="24"/>
          <w:szCs w:val="24"/>
          <w:lang w:eastAsia="en-ZA"/>
        </w:rPr>
        <w:t>for State-owned accommodation are</w:t>
      </w:r>
      <w:r>
        <w:rPr>
          <w:rFonts w:eastAsia="+mn-ea" w:cs="Arial"/>
          <w:kern w:val="24"/>
          <w:sz w:val="24"/>
          <w:szCs w:val="24"/>
          <w:lang w:eastAsia="en-ZA"/>
        </w:rPr>
        <w:t xml:space="preserve"> based on the original calculations of 2005 when accommodation budgets were devolved to User departments.</w:t>
      </w:r>
    </w:p>
    <w:p w:rsidR="00701428" w:rsidRDefault="00010EA9" w:rsidP="00701428">
      <w:pPr>
        <w:spacing w:before="100" w:beforeAutospacing="1" w:after="100" w:afterAutospacing="1" w:line="276" w:lineRule="auto"/>
        <w:ind w:left="1440"/>
        <w:outlineLvl w:val="0"/>
        <w:rPr>
          <w:rFonts w:eastAsia="+mn-ea" w:cs="Arial"/>
          <w:kern w:val="24"/>
          <w:sz w:val="24"/>
          <w:szCs w:val="24"/>
          <w:lang w:eastAsia="en-ZA"/>
        </w:rPr>
      </w:pPr>
      <w:r>
        <w:rPr>
          <w:rFonts w:eastAsia="+mn-ea" w:cs="Arial"/>
          <w:kern w:val="24"/>
          <w:sz w:val="24"/>
          <w:szCs w:val="24"/>
          <w:lang w:eastAsia="en-ZA"/>
        </w:rPr>
        <w:t xml:space="preserve">In calculating the baseline information, the Department of Public Works (DPW) considered the different facility types in its property portfolio. It was not possible to calculate this amount on a per-property basis owing to the magnitude of the portfolio and the </w:t>
      </w:r>
      <w:r w:rsidR="00937DC0">
        <w:rPr>
          <w:rFonts w:eastAsia="+mn-ea" w:cs="Arial"/>
          <w:kern w:val="24"/>
          <w:sz w:val="24"/>
          <w:szCs w:val="24"/>
          <w:lang w:eastAsia="en-ZA"/>
        </w:rPr>
        <w:t>property-</w:t>
      </w:r>
      <w:r>
        <w:rPr>
          <w:rFonts w:eastAsia="+mn-ea" w:cs="Arial"/>
          <w:kern w:val="24"/>
          <w:sz w:val="24"/>
          <w:szCs w:val="24"/>
          <w:lang w:eastAsia="en-ZA"/>
        </w:rPr>
        <w:t>specific information that was not available at that time. This was done for all facility types, which resulted in different rates proposed per facility type. The average rate was calculated at R23.74/m</w:t>
      </w:r>
      <w:r>
        <w:rPr>
          <w:rFonts w:eastAsia="+mn-ea" w:cs="Arial"/>
          <w:kern w:val="24"/>
          <w:sz w:val="24"/>
          <w:szCs w:val="24"/>
          <w:vertAlign w:val="superscript"/>
          <w:lang w:eastAsia="en-ZA"/>
        </w:rPr>
        <w:t>2</w:t>
      </w:r>
      <w:r>
        <w:rPr>
          <w:rFonts w:eastAsia="+mn-ea" w:cs="Arial"/>
          <w:kern w:val="24"/>
          <w:sz w:val="24"/>
          <w:szCs w:val="24"/>
          <w:lang w:eastAsia="en-ZA"/>
        </w:rPr>
        <w:t>.</w:t>
      </w:r>
    </w:p>
    <w:p w:rsidR="00701428" w:rsidRDefault="00010EA9" w:rsidP="00701428">
      <w:pPr>
        <w:spacing w:before="100" w:beforeAutospacing="1" w:after="100" w:afterAutospacing="1" w:line="276" w:lineRule="auto"/>
        <w:ind w:left="1440"/>
        <w:outlineLvl w:val="0"/>
        <w:rPr>
          <w:rFonts w:eastAsia="+mn-ea" w:cs="Arial"/>
          <w:kern w:val="24"/>
          <w:sz w:val="24"/>
          <w:szCs w:val="24"/>
          <w:lang w:eastAsia="en-ZA"/>
        </w:rPr>
      </w:pPr>
      <w:r>
        <w:rPr>
          <w:rFonts w:eastAsia="+mn-ea" w:cs="Arial"/>
          <w:kern w:val="24"/>
          <w:sz w:val="24"/>
          <w:szCs w:val="24"/>
          <w:lang w:eastAsia="en-ZA"/>
        </w:rPr>
        <w:t>Although the average rate per facility was R23.74/m</w:t>
      </w:r>
      <w:r>
        <w:rPr>
          <w:rFonts w:eastAsia="+mn-ea" w:cs="Arial"/>
          <w:kern w:val="24"/>
          <w:sz w:val="24"/>
          <w:szCs w:val="24"/>
          <w:vertAlign w:val="superscript"/>
          <w:lang w:eastAsia="en-ZA"/>
        </w:rPr>
        <w:t>2</w:t>
      </w:r>
      <w:r>
        <w:rPr>
          <w:rFonts w:eastAsia="+mn-ea" w:cs="Arial"/>
          <w:kern w:val="24"/>
          <w:sz w:val="24"/>
          <w:szCs w:val="24"/>
          <w:lang w:eastAsia="en-ZA"/>
        </w:rPr>
        <w:t>, the DPW could only devolve the funds it had in its Maintenance and Property Rates budgets baseline. The distribution of funds per User department had to be scaled down to fit into this baseline and was reduced on a pro-rata basis. The average of R23.74/m</w:t>
      </w:r>
      <w:r>
        <w:rPr>
          <w:rFonts w:eastAsia="+mn-ea" w:cs="Arial"/>
          <w:kern w:val="24"/>
          <w:sz w:val="24"/>
          <w:szCs w:val="24"/>
          <w:vertAlign w:val="superscript"/>
          <w:lang w:eastAsia="en-ZA"/>
        </w:rPr>
        <w:t>2</w:t>
      </w:r>
      <w:r>
        <w:rPr>
          <w:rFonts w:eastAsia="+mn-ea" w:cs="Arial"/>
          <w:kern w:val="24"/>
          <w:sz w:val="24"/>
          <w:szCs w:val="24"/>
          <w:lang w:eastAsia="en-ZA"/>
        </w:rPr>
        <w:t xml:space="preserve"> was reduced to R4.74/m</w:t>
      </w:r>
      <w:r>
        <w:rPr>
          <w:rFonts w:eastAsia="+mn-ea" w:cs="Arial"/>
          <w:kern w:val="24"/>
          <w:sz w:val="24"/>
          <w:szCs w:val="24"/>
          <w:vertAlign w:val="superscript"/>
          <w:lang w:eastAsia="en-ZA"/>
        </w:rPr>
        <w:t>2</w:t>
      </w:r>
      <w:r>
        <w:rPr>
          <w:rFonts w:eastAsia="+mn-ea" w:cs="Arial"/>
          <w:kern w:val="24"/>
          <w:sz w:val="24"/>
          <w:szCs w:val="24"/>
          <w:lang w:eastAsia="en-ZA"/>
        </w:rPr>
        <w:t xml:space="preserve"> at inception and has escalated to an approximate current amount of R16.00/m².</w:t>
      </w:r>
    </w:p>
    <w:p w:rsidR="00701428" w:rsidRDefault="00010EA9" w:rsidP="00701428">
      <w:pPr>
        <w:spacing w:before="100" w:beforeAutospacing="1" w:after="100" w:afterAutospacing="1" w:line="276" w:lineRule="auto"/>
        <w:ind w:left="1440"/>
        <w:outlineLvl w:val="0"/>
        <w:rPr>
          <w:rFonts w:eastAsia="+mn-ea" w:cs="Arial"/>
          <w:kern w:val="24"/>
          <w:sz w:val="24"/>
          <w:szCs w:val="24"/>
          <w:lang w:eastAsia="en-ZA"/>
        </w:rPr>
      </w:pPr>
      <w:r>
        <w:rPr>
          <w:rFonts w:eastAsia="+mn-ea" w:cs="Arial"/>
          <w:kern w:val="24"/>
          <w:sz w:val="24"/>
          <w:szCs w:val="24"/>
          <w:lang w:eastAsia="en-ZA"/>
        </w:rPr>
        <w:t>The amount devolved (and subsequently charged back) was not enough to cover the self-sustainable target level. As part of the devolution framework, it was indicated that the entity would have to receive at least a 15% growth on this amount to reach the desired funding level by 2017. At that point, it would be possible to maintain properties at their current level. During the time lapse from 2006 to 2017, the portfolio would further deteriorate except where specific intervention took place. This is referred to as “backlog maintenance”, which would be funded separately.</w:t>
      </w:r>
    </w:p>
    <w:p w:rsidR="00010EA9" w:rsidRDefault="00010EA9" w:rsidP="00701428">
      <w:pPr>
        <w:spacing w:before="100" w:beforeAutospacing="1" w:after="100" w:afterAutospacing="1" w:line="276" w:lineRule="auto"/>
        <w:ind w:left="1440"/>
        <w:outlineLvl w:val="0"/>
        <w:rPr>
          <w:rFonts w:eastAsia="+mn-ea" w:cs="Arial"/>
          <w:kern w:val="24"/>
          <w:sz w:val="24"/>
          <w:szCs w:val="24"/>
          <w:lang w:eastAsia="en-ZA"/>
        </w:rPr>
      </w:pPr>
      <w:r>
        <w:rPr>
          <w:rFonts w:eastAsia="Calibri" w:cs="Arial"/>
          <w:sz w:val="24"/>
          <w:szCs w:val="24"/>
          <w:lang w:val="af-ZA" w:eastAsia="en-US"/>
        </w:rPr>
        <w:t>The above-</w:t>
      </w:r>
      <w:r w:rsidRPr="00937DC0">
        <w:rPr>
          <w:rFonts w:eastAsia="+mn-ea" w:cs="Arial"/>
          <w:kern w:val="24"/>
          <w:sz w:val="24"/>
          <w:szCs w:val="24"/>
          <w:lang w:val="en-ZA" w:eastAsia="en-ZA"/>
        </w:rPr>
        <w:t>mentioned</w:t>
      </w:r>
      <w:r>
        <w:rPr>
          <w:rFonts w:eastAsia="Calibri" w:cs="Arial"/>
          <w:sz w:val="24"/>
          <w:szCs w:val="24"/>
          <w:lang w:val="af-ZA" w:eastAsia="en-US"/>
        </w:rPr>
        <w:t xml:space="preserve"> devolution and charge-back methodology is being reviewed currently so as to align with the operationalisation of the Property Management Trading Entity (PMTE).</w:t>
      </w:r>
    </w:p>
    <w:p w:rsidR="00D4613E" w:rsidRPr="00701428" w:rsidRDefault="00701428" w:rsidP="00701428">
      <w:pPr>
        <w:rPr>
          <w:rFonts w:eastAsia="Calibri" w:cs="Arial"/>
          <w:sz w:val="24"/>
          <w:szCs w:val="24"/>
          <w:lang w:val="af-ZA" w:eastAsia="en-US"/>
        </w:rPr>
      </w:pPr>
      <w:r>
        <w:rPr>
          <w:rFonts w:eastAsia="Calibri" w:cs="Arial"/>
          <w:sz w:val="24"/>
          <w:szCs w:val="24"/>
          <w:lang w:val="af-ZA" w:eastAsia="en-US"/>
        </w:rPr>
        <w:t>(3)</w:t>
      </w:r>
      <w:r>
        <w:rPr>
          <w:rFonts w:eastAsia="Calibri" w:cs="Arial"/>
          <w:sz w:val="24"/>
          <w:szCs w:val="24"/>
          <w:lang w:val="af-ZA" w:eastAsia="en-US"/>
        </w:rPr>
        <w:tab/>
      </w:r>
      <w:r w:rsidR="00055103" w:rsidRPr="00701428">
        <w:rPr>
          <w:rFonts w:eastAsia="Calibri" w:cs="Arial"/>
          <w:sz w:val="24"/>
          <w:szCs w:val="24"/>
          <w:lang w:val="af-ZA" w:eastAsia="en-US"/>
        </w:rPr>
        <w:t>(a)</w:t>
      </w:r>
      <w:r w:rsidR="0052191D" w:rsidRPr="00701428">
        <w:rPr>
          <w:rFonts w:eastAsia="Calibri" w:cs="Arial"/>
          <w:sz w:val="24"/>
          <w:szCs w:val="24"/>
          <w:lang w:val="af-ZA" w:eastAsia="en-US"/>
        </w:rPr>
        <w:t xml:space="preserve">    </w:t>
      </w:r>
      <w:r w:rsidR="00055103" w:rsidRPr="00701428">
        <w:rPr>
          <w:rFonts w:eastAsia="Calibri" w:cs="Arial"/>
          <w:sz w:val="24"/>
          <w:szCs w:val="24"/>
          <w:lang w:val="af-ZA" w:eastAsia="en-US"/>
        </w:rPr>
        <w:t xml:space="preserve">(i)  </w:t>
      </w:r>
      <w:r w:rsidR="00D4613E" w:rsidRPr="00701428">
        <w:rPr>
          <w:rFonts w:eastAsia="Calibri" w:cs="Arial"/>
          <w:sz w:val="24"/>
          <w:szCs w:val="24"/>
          <w:lang w:val="af-ZA" w:eastAsia="en-US"/>
        </w:rPr>
        <w:t>and (ii)</w:t>
      </w:r>
    </w:p>
    <w:p w:rsidR="00D4613E" w:rsidRDefault="00D4613E" w:rsidP="00D4613E">
      <w:pPr>
        <w:tabs>
          <w:tab w:val="left" w:pos="1980"/>
        </w:tabs>
        <w:rPr>
          <w:rFonts w:eastAsia="Calibri" w:cs="Arial"/>
          <w:sz w:val="24"/>
          <w:szCs w:val="24"/>
          <w:lang w:val="af-ZA" w:eastAsia="en-US"/>
        </w:rPr>
      </w:pPr>
    </w:p>
    <w:p w:rsidR="00055103" w:rsidRPr="005015CA" w:rsidRDefault="00055103" w:rsidP="00701428">
      <w:pPr>
        <w:tabs>
          <w:tab w:val="left" w:pos="1980"/>
        </w:tabs>
        <w:ind w:left="1418"/>
        <w:rPr>
          <w:rFonts w:eastAsia="Calibri" w:cs="Arial"/>
          <w:sz w:val="24"/>
          <w:szCs w:val="24"/>
          <w:lang w:val="af-ZA" w:eastAsia="en-US"/>
        </w:rPr>
      </w:pPr>
      <w:r w:rsidRPr="00D4613E">
        <w:rPr>
          <w:rFonts w:eastAsia="Calibri" w:cs="Arial"/>
          <w:sz w:val="24"/>
          <w:szCs w:val="24"/>
          <w:lang w:val="af-ZA" w:eastAsia="en-US"/>
        </w:rPr>
        <w:t>1</w:t>
      </w:r>
      <w:r w:rsidR="00F81085" w:rsidRPr="00D4613E">
        <w:rPr>
          <w:rFonts w:eastAsia="Calibri" w:cs="Arial"/>
          <w:sz w:val="24"/>
          <w:szCs w:val="24"/>
          <w:lang w:val="af-ZA" w:eastAsia="en-US"/>
        </w:rPr>
        <w:t>,</w:t>
      </w:r>
      <w:r w:rsidRPr="00D4613E">
        <w:rPr>
          <w:rFonts w:eastAsia="Calibri" w:cs="Arial"/>
          <w:sz w:val="24"/>
          <w:szCs w:val="24"/>
          <w:lang w:val="af-ZA" w:eastAsia="en-US"/>
        </w:rPr>
        <w:t xml:space="preserve">939 </w:t>
      </w:r>
      <w:r w:rsidR="00D4613E">
        <w:rPr>
          <w:rFonts w:eastAsia="Calibri" w:cs="Arial"/>
          <w:sz w:val="24"/>
          <w:szCs w:val="24"/>
          <w:lang w:val="af-ZA" w:eastAsia="en-US"/>
        </w:rPr>
        <w:t>buildings are currently not b</w:t>
      </w:r>
      <w:r w:rsidR="00F80BD0">
        <w:rPr>
          <w:rFonts w:eastAsia="Calibri" w:cs="Arial"/>
          <w:sz w:val="24"/>
          <w:szCs w:val="24"/>
          <w:lang w:val="af-ZA" w:eastAsia="en-US"/>
        </w:rPr>
        <w:t xml:space="preserve">eing utilised nor leased.  </w:t>
      </w:r>
      <w:r w:rsidR="00733A6A" w:rsidRPr="00733A6A">
        <w:rPr>
          <w:rFonts w:cs="Arial"/>
          <w:sz w:val="24"/>
          <w:szCs w:val="24"/>
          <w:lang w:eastAsia="en-US"/>
        </w:rPr>
        <w:t>Please refer to Annexure 1(a</w:t>
      </w:r>
      <w:proofErr w:type="gramStart"/>
      <w:r w:rsidR="00733A6A" w:rsidRPr="00733A6A">
        <w:rPr>
          <w:rFonts w:cs="Arial"/>
          <w:sz w:val="24"/>
          <w:szCs w:val="24"/>
          <w:lang w:eastAsia="en-US"/>
        </w:rPr>
        <w:t>)(</w:t>
      </w:r>
      <w:proofErr w:type="gramEnd"/>
      <w:r w:rsidR="00733A6A" w:rsidRPr="00733A6A">
        <w:rPr>
          <w:rFonts w:cs="Arial"/>
          <w:sz w:val="24"/>
          <w:szCs w:val="24"/>
          <w:lang w:eastAsia="en-US"/>
        </w:rPr>
        <w:t>i) for</w:t>
      </w:r>
      <w:r w:rsidR="00F80BD0">
        <w:rPr>
          <w:rFonts w:eastAsia="Calibri" w:cs="Arial"/>
          <w:sz w:val="24"/>
          <w:szCs w:val="24"/>
          <w:lang w:val="af-ZA" w:eastAsia="en-US"/>
        </w:rPr>
        <w:t xml:space="preserve"> detail per province.</w:t>
      </w:r>
    </w:p>
    <w:p w:rsidR="00B216DA" w:rsidRDefault="00055103" w:rsidP="00701428">
      <w:pPr>
        <w:spacing w:before="100" w:beforeAutospacing="1" w:after="100" w:afterAutospacing="1" w:line="276" w:lineRule="auto"/>
        <w:ind w:firstLine="720"/>
        <w:outlineLvl w:val="0"/>
        <w:rPr>
          <w:rFonts w:eastAsia="Calibri" w:cs="Arial"/>
          <w:sz w:val="24"/>
          <w:szCs w:val="24"/>
          <w:lang w:val="af-ZA" w:eastAsia="en-US"/>
        </w:rPr>
      </w:pPr>
      <w:r w:rsidRPr="005015CA">
        <w:rPr>
          <w:rFonts w:eastAsia="Calibri" w:cs="Arial"/>
          <w:sz w:val="24"/>
          <w:szCs w:val="24"/>
          <w:lang w:val="af-ZA" w:eastAsia="en-US"/>
        </w:rPr>
        <w:t>(b)</w:t>
      </w:r>
      <w:r w:rsidR="00701428">
        <w:rPr>
          <w:rFonts w:eastAsia="Calibri" w:cs="Arial"/>
          <w:sz w:val="24"/>
          <w:szCs w:val="24"/>
          <w:lang w:val="af-ZA" w:eastAsia="en-US"/>
        </w:rPr>
        <w:tab/>
      </w:r>
      <w:r w:rsidRPr="005015CA">
        <w:rPr>
          <w:rFonts w:eastAsia="Calibri" w:cs="Arial"/>
          <w:sz w:val="24"/>
          <w:szCs w:val="24"/>
          <w:lang w:val="af-ZA" w:eastAsia="en-US"/>
        </w:rPr>
        <w:t xml:space="preserve">(i) </w:t>
      </w:r>
      <w:r w:rsidR="00671D81">
        <w:rPr>
          <w:rFonts w:eastAsia="Calibri" w:cs="Arial"/>
          <w:sz w:val="24"/>
          <w:szCs w:val="24"/>
          <w:lang w:val="af-ZA" w:eastAsia="en-US"/>
        </w:rPr>
        <w:t>and (ii)</w:t>
      </w:r>
      <w:r w:rsidR="00B216DA">
        <w:rPr>
          <w:rFonts w:eastAsia="Calibri" w:cs="Arial"/>
          <w:sz w:val="24"/>
          <w:szCs w:val="24"/>
          <w:lang w:val="af-ZA" w:eastAsia="en-US"/>
        </w:rPr>
        <w:tab/>
      </w:r>
    </w:p>
    <w:p w:rsidR="00671D81" w:rsidRDefault="00581834" w:rsidP="00701428">
      <w:pPr>
        <w:spacing w:before="100" w:beforeAutospacing="1" w:after="100" w:afterAutospacing="1" w:line="276" w:lineRule="auto"/>
        <w:ind w:left="1440"/>
        <w:outlineLvl w:val="0"/>
        <w:rPr>
          <w:rFonts w:eastAsia="Calibri" w:cs="Arial"/>
          <w:sz w:val="24"/>
          <w:szCs w:val="24"/>
          <w:lang w:val="af-ZA" w:eastAsia="en-US"/>
        </w:rPr>
      </w:pPr>
      <w:r>
        <w:rPr>
          <w:rFonts w:eastAsia="Calibri" w:cs="Arial"/>
          <w:sz w:val="24"/>
          <w:szCs w:val="24"/>
          <w:lang w:val="af-ZA" w:eastAsia="en-US"/>
        </w:rPr>
        <w:lastRenderedPageBreak/>
        <w:t xml:space="preserve">Payable </w:t>
      </w:r>
      <w:r w:rsidR="00701428">
        <w:rPr>
          <w:rFonts w:eastAsia="Calibri" w:cs="Arial"/>
          <w:sz w:val="24"/>
          <w:szCs w:val="24"/>
          <w:lang w:val="af-ZA" w:eastAsia="en-US"/>
        </w:rPr>
        <w:t>r</w:t>
      </w:r>
      <w:r w:rsidR="00996018">
        <w:rPr>
          <w:rFonts w:eastAsia="Calibri" w:cs="Arial"/>
          <w:sz w:val="24"/>
          <w:szCs w:val="24"/>
          <w:lang w:val="af-ZA" w:eastAsia="en-US"/>
        </w:rPr>
        <w:t xml:space="preserve">ates </w:t>
      </w:r>
      <w:r w:rsidR="001F63B5">
        <w:rPr>
          <w:rFonts w:eastAsia="Calibri" w:cs="Arial"/>
          <w:sz w:val="24"/>
          <w:szCs w:val="24"/>
          <w:lang w:val="af-ZA" w:eastAsia="en-US"/>
        </w:rPr>
        <w:t xml:space="preserve">and </w:t>
      </w:r>
      <w:r w:rsidR="00701428">
        <w:rPr>
          <w:rFonts w:eastAsia="Calibri" w:cs="Arial"/>
          <w:sz w:val="24"/>
          <w:szCs w:val="24"/>
          <w:lang w:val="af-ZA" w:eastAsia="en-US"/>
        </w:rPr>
        <w:t>t</w:t>
      </w:r>
      <w:r w:rsidR="002B58DE">
        <w:rPr>
          <w:rFonts w:eastAsia="Calibri" w:cs="Arial"/>
          <w:sz w:val="24"/>
          <w:szCs w:val="24"/>
          <w:lang w:val="af-ZA" w:eastAsia="en-US"/>
        </w:rPr>
        <w:t xml:space="preserve">axes are treated as one expenditure item </w:t>
      </w:r>
      <w:r w:rsidR="00B216DA">
        <w:rPr>
          <w:rFonts w:eastAsia="Calibri" w:cs="Arial"/>
          <w:sz w:val="24"/>
          <w:szCs w:val="24"/>
          <w:lang w:val="af-ZA" w:eastAsia="en-US"/>
        </w:rPr>
        <w:t xml:space="preserve">by </w:t>
      </w:r>
      <w:r w:rsidR="002B58DE">
        <w:rPr>
          <w:rFonts w:eastAsia="Calibri" w:cs="Arial"/>
          <w:sz w:val="24"/>
          <w:szCs w:val="24"/>
          <w:lang w:val="af-ZA" w:eastAsia="en-US"/>
        </w:rPr>
        <w:t xml:space="preserve">municipalities and </w:t>
      </w:r>
      <w:r w:rsidR="00996018">
        <w:rPr>
          <w:rFonts w:eastAsia="Calibri" w:cs="Arial"/>
          <w:sz w:val="24"/>
          <w:szCs w:val="24"/>
          <w:lang w:val="af-ZA" w:eastAsia="en-US"/>
        </w:rPr>
        <w:t xml:space="preserve">the </w:t>
      </w:r>
      <w:r w:rsidR="00DB6B87">
        <w:rPr>
          <w:rFonts w:eastAsia="Calibri" w:cs="Arial"/>
          <w:sz w:val="24"/>
          <w:szCs w:val="24"/>
          <w:lang w:val="af-ZA" w:eastAsia="en-US"/>
        </w:rPr>
        <w:t>DPW</w:t>
      </w:r>
      <w:r w:rsidR="00996018">
        <w:rPr>
          <w:rFonts w:eastAsia="Calibri" w:cs="Arial"/>
          <w:sz w:val="24"/>
          <w:szCs w:val="24"/>
          <w:lang w:val="af-ZA" w:eastAsia="en-US"/>
        </w:rPr>
        <w:t xml:space="preserve"> </w:t>
      </w:r>
      <w:r>
        <w:rPr>
          <w:rFonts w:eastAsia="Calibri" w:cs="Arial"/>
          <w:sz w:val="24"/>
          <w:szCs w:val="24"/>
          <w:lang w:val="af-ZA" w:eastAsia="en-US"/>
        </w:rPr>
        <w:t xml:space="preserve">therefore </w:t>
      </w:r>
      <w:r w:rsidR="00B216DA">
        <w:rPr>
          <w:rFonts w:eastAsia="Calibri" w:cs="Arial"/>
          <w:sz w:val="24"/>
          <w:szCs w:val="24"/>
          <w:lang w:val="af-ZA" w:eastAsia="en-US"/>
        </w:rPr>
        <w:t xml:space="preserve">treats </w:t>
      </w:r>
      <w:r>
        <w:rPr>
          <w:rFonts w:eastAsia="Calibri" w:cs="Arial"/>
          <w:sz w:val="24"/>
          <w:szCs w:val="24"/>
          <w:lang w:val="af-ZA" w:eastAsia="en-US"/>
        </w:rPr>
        <w:t xml:space="preserve">payable </w:t>
      </w:r>
      <w:r w:rsidR="00DB6B87">
        <w:rPr>
          <w:rFonts w:eastAsia="Calibri" w:cs="Arial"/>
          <w:sz w:val="24"/>
          <w:szCs w:val="24"/>
          <w:lang w:val="af-ZA" w:eastAsia="en-US"/>
        </w:rPr>
        <w:t>r</w:t>
      </w:r>
      <w:r w:rsidR="00B216DA">
        <w:rPr>
          <w:rFonts w:eastAsia="Calibri" w:cs="Arial"/>
          <w:sz w:val="24"/>
          <w:szCs w:val="24"/>
          <w:lang w:val="af-ZA" w:eastAsia="en-US"/>
        </w:rPr>
        <w:t xml:space="preserve">ates </w:t>
      </w:r>
      <w:r w:rsidR="001F63B5">
        <w:rPr>
          <w:rFonts w:eastAsia="Calibri" w:cs="Arial"/>
          <w:sz w:val="24"/>
          <w:szCs w:val="24"/>
          <w:lang w:val="af-ZA" w:eastAsia="en-US"/>
        </w:rPr>
        <w:t xml:space="preserve">and </w:t>
      </w:r>
      <w:r w:rsidR="00DB6B87">
        <w:rPr>
          <w:rFonts w:eastAsia="Calibri" w:cs="Arial"/>
          <w:sz w:val="24"/>
          <w:szCs w:val="24"/>
          <w:lang w:val="af-ZA" w:eastAsia="en-US"/>
        </w:rPr>
        <w:t>t</w:t>
      </w:r>
      <w:r w:rsidR="002B58DE">
        <w:rPr>
          <w:rFonts w:eastAsia="Calibri" w:cs="Arial"/>
          <w:sz w:val="24"/>
          <w:szCs w:val="24"/>
          <w:lang w:val="af-ZA" w:eastAsia="en-US"/>
        </w:rPr>
        <w:t>axes as one expenditure item.</w:t>
      </w:r>
    </w:p>
    <w:p w:rsidR="003137E1" w:rsidRPr="005015CA" w:rsidRDefault="00842D3F" w:rsidP="00DB6B87">
      <w:pPr>
        <w:tabs>
          <w:tab w:val="left" w:pos="1440"/>
          <w:tab w:val="left" w:pos="1980"/>
        </w:tabs>
        <w:spacing w:before="100" w:beforeAutospacing="1" w:after="100" w:afterAutospacing="1" w:line="276" w:lineRule="auto"/>
        <w:ind w:left="1440"/>
        <w:outlineLvl w:val="0"/>
        <w:rPr>
          <w:rFonts w:eastAsia="Calibri" w:cs="Arial"/>
          <w:sz w:val="24"/>
          <w:szCs w:val="24"/>
          <w:lang w:val="af-ZA" w:eastAsia="en-US"/>
        </w:rPr>
      </w:pPr>
      <w:r w:rsidRPr="005015CA">
        <w:rPr>
          <w:rFonts w:eastAsia="Calibri" w:cs="Arial"/>
          <w:sz w:val="24"/>
          <w:szCs w:val="24"/>
          <w:lang w:val="af-ZA" w:eastAsia="en-US"/>
        </w:rPr>
        <w:t xml:space="preserve">A total amount of </w:t>
      </w:r>
      <w:r w:rsidR="003137E1" w:rsidRPr="005015CA">
        <w:rPr>
          <w:rFonts w:eastAsia="Calibri" w:cs="Arial"/>
          <w:sz w:val="24"/>
          <w:szCs w:val="24"/>
          <w:lang w:val="af-ZA" w:eastAsia="en-US"/>
        </w:rPr>
        <w:t>R</w:t>
      </w:r>
      <w:r w:rsidR="000D4D74">
        <w:rPr>
          <w:rFonts w:eastAsia="Calibri" w:cs="Arial"/>
          <w:sz w:val="24"/>
          <w:szCs w:val="24"/>
          <w:lang w:val="af-ZA" w:eastAsia="en-US"/>
        </w:rPr>
        <w:t>3</w:t>
      </w:r>
      <w:r w:rsidR="008907B2" w:rsidRPr="005015CA">
        <w:rPr>
          <w:rFonts w:eastAsia="Calibri" w:cs="Arial"/>
          <w:sz w:val="24"/>
          <w:szCs w:val="24"/>
          <w:lang w:val="af-ZA" w:eastAsia="en-US"/>
        </w:rPr>
        <w:t>,</w:t>
      </w:r>
      <w:r w:rsidR="000D4D74">
        <w:rPr>
          <w:rFonts w:eastAsia="Calibri" w:cs="Arial"/>
          <w:sz w:val="24"/>
          <w:szCs w:val="24"/>
          <w:lang w:val="af-ZA" w:eastAsia="en-US"/>
        </w:rPr>
        <w:t>983</w:t>
      </w:r>
      <w:r w:rsidR="008907B2" w:rsidRPr="005015CA">
        <w:rPr>
          <w:rFonts w:eastAsia="Calibri" w:cs="Arial"/>
          <w:sz w:val="24"/>
          <w:szCs w:val="24"/>
          <w:lang w:val="af-ZA" w:eastAsia="en-US"/>
        </w:rPr>
        <w:t>,</w:t>
      </w:r>
      <w:r w:rsidR="000D4D74">
        <w:rPr>
          <w:rFonts w:eastAsia="Calibri" w:cs="Arial"/>
          <w:sz w:val="24"/>
          <w:szCs w:val="24"/>
          <w:lang w:val="af-ZA" w:eastAsia="en-US"/>
        </w:rPr>
        <w:t>937</w:t>
      </w:r>
      <w:r w:rsidR="008907B2" w:rsidRPr="005015CA">
        <w:rPr>
          <w:rFonts w:eastAsia="Calibri" w:cs="Arial"/>
          <w:sz w:val="24"/>
          <w:szCs w:val="24"/>
          <w:lang w:val="af-ZA" w:eastAsia="en-US"/>
        </w:rPr>
        <w:t>.</w:t>
      </w:r>
      <w:r w:rsidR="000D4D74">
        <w:rPr>
          <w:rFonts w:eastAsia="Calibri" w:cs="Arial"/>
          <w:sz w:val="24"/>
          <w:szCs w:val="24"/>
          <w:lang w:val="af-ZA" w:eastAsia="en-US"/>
        </w:rPr>
        <w:t>52</w:t>
      </w:r>
      <w:r w:rsidR="00E06692" w:rsidRPr="005015CA">
        <w:rPr>
          <w:rFonts w:eastAsia="Calibri" w:cs="Arial"/>
          <w:sz w:val="24"/>
          <w:szCs w:val="24"/>
          <w:lang w:val="af-ZA" w:eastAsia="en-US"/>
        </w:rPr>
        <w:t xml:space="preserve">, on average, </w:t>
      </w:r>
      <w:r w:rsidR="003137E1" w:rsidRPr="005015CA">
        <w:rPr>
          <w:rFonts w:eastAsia="Calibri" w:cs="Arial"/>
          <w:sz w:val="24"/>
          <w:szCs w:val="24"/>
          <w:lang w:val="af-ZA" w:eastAsia="en-US"/>
        </w:rPr>
        <w:t xml:space="preserve">is </w:t>
      </w:r>
      <w:r w:rsidR="00E06692" w:rsidRPr="005015CA">
        <w:rPr>
          <w:rFonts w:eastAsia="Calibri" w:cs="Arial"/>
          <w:sz w:val="24"/>
          <w:szCs w:val="24"/>
          <w:lang w:val="af-ZA" w:eastAsia="en-US"/>
        </w:rPr>
        <w:t xml:space="preserve">currently </w:t>
      </w:r>
      <w:r w:rsidR="0016489C" w:rsidRPr="005015CA">
        <w:rPr>
          <w:rFonts w:eastAsia="Calibri" w:cs="Arial"/>
          <w:sz w:val="24"/>
          <w:szCs w:val="24"/>
          <w:lang w:val="af-ZA" w:eastAsia="en-US"/>
        </w:rPr>
        <w:t xml:space="preserve">payable </w:t>
      </w:r>
      <w:r w:rsidR="003137E1" w:rsidRPr="005015CA">
        <w:rPr>
          <w:rFonts w:eastAsia="Calibri" w:cs="Arial"/>
          <w:sz w:val="24"/>
          <w:szCs w:val="24"/>
          <w:lang w:val="af-ZA" w:eastAsia="en-US"/>
        </w:rPr>
        <w:t>monthly on municipal rates</w:t>
      </w:r>
      <w:r w:rsidR="008907B2" w:rsidRPr="005015CA">
        <w:rPr>
          <w:rFonts w:eastAsia="Calibri" w:cs="Arial"/>
          <w:sz w:val="24"/>
          <w:szCs w:val="24"/>
          <w:lang w:val="af-ZA" w:eastAsia="en-US"/>
        </w:rPr>
        <w:t xml:space="preserve"> and taxes</w:t>
      </w:r>
      <w:r w:rsidR="00757823" w:rsidRPr="005015CA">
        <w:rPr>
          <w:rFonts w:eastAsia="Calibri" w:cs="Arial"/>
          <w:sz w:val="24"/>
          <w:szCs w:val="24"/>
          <w:lang w:val="af-ZA" w:eastAsia="en-US"/>
        </w:rPr>
        <w:t xml:space="preserve"> through all regional offices in all provinces</w:t>
      </w:r>
      <w:r w:rsidR="005015CA" w:rsidRPr="005015CA">
        <w:rPr>
          <w:rFonts w:eastAsia="Calibri" w:cs="Arial"/>
          <w:sz w:val="24"/>
          <w:szCs w:val="24"/>
          <w:lang w:val="af-ZA" w:eastAsia="en-US"/>
        </w:rPr>
        <w:t>.</w:t>
      </w:r>
      <w:r w:rsidR="00A7279C">
        <w:rPr>
          <w:rFonts w:eastAsia="Calibri" w:cs="Arial"/>
          <w:sz w:val="24"/>
          <w:szCs w:val="24"/>
          <w:lang w:val="af-ZA" w:eastAsia="en-US"/>
        </w:rPr>
        <w:t xml:space="preserve">  A</w:t>
      </w:r>
      <w:r w:rsidR="00CC7F90">
        <w:rPr>
          <w:rFonts w:eastAsia="Calibri" w:cs="Arial"/>
          <w:sz w:val="24"/>
          <w:szCs w:val="24"/>
          <w:lang w:val="af-ZA" w:eastAsia="en-US"/>
        </w:rPr>
        <w:t>ttached please find Annexure 3(b)(i)</w:t>
      </w:r>
      <w:r w:rsidR="00A7279C">
        <w:rPr>
          <w:rFonts w:eastAsia="Calibri" w:cs="Arial"/>
          <w:sz w:val="24"/>
          <w:szCs w:val="24"/>
          <w:lang w:val="af-ZA" w:eastAsia="en-US"/>
        </w:rPr>
        <w:t xml:space="preserve"> for detail per province</w:t>
      </w:r>
      <w:r w:rsidR="00F81085">
        <w:rPr>
          <w:rFonts w:eastAsia="Calibri" w:cs="Arial"/>
          <w:sz w:val="24"/>
          <w:szCs w:val="24"/>
          <w:lang w:val="af-ZA" w:eastAsia="en-US"/>
        </w:rPr>
        <w:t xml:space="preserve"> in relation to un</w:t>
      </w:r>
      <w:r w:rsidR="00EA4AA1">
        <w:rPr>
          <w:rFonts w:eastAsia="Calibri" w:cs="Arial"/>
          <w:sz w:val="24"/>
          <w:szCs w:val="24"/>
          <w:lang w:val="af-ZA" w:eastAsia="en-US"/>
        </w:rPr>
        <w:t>u</w:t>
      </w:r>
      <w:r w:rsidR="00F81085">
        <w:rPr>
          <w:rFonts w:eastAsia="Calibri" w:cs="Arial"/>
          <w:sz w:val="24"/>
          <w:szCs w:val="24"/>
          <w:lang w:val="af-ZA" w:eastAsia="en-US"/>
        </w:rPr>
        <w:t>tilised properties</w:t>
      </w:r>
      <w:r w:rsidR="00A7279C">
        <w:rPr>
          <w:rFonts w:eastAsia="Calibri" w:cs="Arial"/>
          <w:sz w:val="24"/>
          <w:szCs w:val="24"/>
          <w:lang w:val="af-ZA" w:eastAsia="en-US"/>
        </w:rPr>
        <w:t>.</w:t>
      </w:r>
    </w:p>
    <w:p w:rsidR="00671D81" w:rsidRDefault="00055103" w:rsidP="00DB6B87">
      <w:pPr>
        <w:spacing w:before="100" w:beforeAutospacing="1" w:after="100" w:afterAutospacing="1" w:line="276" w:lineRule="auto"/>
        <w:ind w:left="720" w:firstLine="720"/>
        <w:outlineLvl w:val="0"/>
        <w:rPr>
          <w:rFonts w:eastAsia="Calibri" w:cs="Arial"/>
          <w:sz w:val="24"/>
          <w:szCs w:val="24"/>
          <w:lang w:val="af-ZA" w:eastAsia="en-US"/>
        </w:rPr>
      </w:pPr>
      <w:r w:rsidRPr="005015CA">
        <w:rPr>
          <w:rFonts w:eastAsia="Calibri" w:cs="Arial"/>
          <w:sz w:val="24"/>
          <w:szCs w:val="24"/>
          <w:lang w:val="af-ZA" w:eastAsia="en-US"/>
        </w:rPr>
        <w:t>(iii)</w:t>
      </w:r>
    </w:p>
    <w:p w:rsidR="003137E1" w:rsidRPr="005015CA" w:rsidRDefault="003137E1" w:rsidP="00DB6B87">
      <w:pPr>
        <w:tabs>
          <w:tab w:val="left" w:pos="1440"/>
          <w:tab w:val="left" w:pos="1980"/>
        </w:tabs>
        <w:spacing w:before="100" w:beforeAutospacing="1" w:after="100" w:afterAutospacing="1" w:line="276" w:lineRule="auto"/>
        <w:ind w:left="1440"/>
        <w:outlineLvl w:val="0"/>
        <w:rPr>
          <w:rFonts w:eastAsia="Calibri" w:cs="Arial"/>
          <w:sz w:val="24"/>
          <w:szCs w:val="24"/>
          <w:lang w:val="af-ZA" w:eastAsia="en-US"/>
        </w:rPr>
      </w:pPr>
      <w:r w:rsidRPr="005015CA">
        <w:rPr>
          <w:rFonts w:eastAsia="Calibri" w:cs="Arial"/>
          <w:sz w:val="24"/>
          <w:szCs w:val="24"/>
          <w:lang w:val="af-ZA" w:eastAsia="en-US"/>
        </w:rPr>
        <w:t>A total amount of R</w:t>
      </w:r>
      <w:r w:rsidR="000D4D74">
        <w:rPr>
          <w:rFonts w:eastAsia="Calibri" w:cs="Arial"/>
          <w:sz w:val="24"/>
          <w:szCs w:val="24"/>
          <w:lang w:val="af-ZA" w:eastAsia="en-US"/>
        </w:rPr>
        <w:t>1</w:t>
      </w:r>
      <w:r w:rsidR="008907B2" w:rsidRPr="005015CA">
        <w:rPr>
          <w:rFonts w:eastAsia="Calibri" w:cs="Arial"/>
          <w:sz w:val="24"/>
          <w:szCs w:val="24"/>
          <w:lang w:val="af-ZA" w:eastAsia="en-US"/>
        </w:rPr>
        <w:t>,</w:t>
      </w:r>
      <w:r w:rsidR="000D4D74">
        <w:rPr>
          <w:rFonts w:eastAsia="Calibri" w:cs="Arial"/>
          <w:sz w:val="24"/>
          <w:szCs w:val="24"/>
          <w:lang w:val="af-ZA" w:eastAsia="en-US"/>
        </w:rPr>
        <w:t>058</w:t>
      </w:r>
      <w:r w:rsidR="008907B2" w:rsidRPr="005015CA">
        <w:rPr>
          <w:rFonts w:eastAsia="Calibri" w:cs="Arial"/>
          <w:sz w:val="24"/>
          <w:szCs w:val="24"/>
          <w:lang w:val="af-ZA" w:eastAsia="en-US"/>
        </w:rPr>
        <w:t>,</w:t>
      </w:r>
      <w:r w:rsidR="000D4D74">
        <w:rPr>
          <w:rFonts w:eastAsia="Calibri" w:cs="Arial"/>
          <w:sz w:val="24"/>
          <w:szCs w:val="24"/>
          <w:lang w:val="af-ZA" w:eastAsia="en-US"/>
        </w:rPr>
        <w:t>541.66</w:t>
      </w:r>
      <w:r w:rsidR="00E06692" w:rsidRPr="005015CA">
        <w:rPr>
          <w:rFonts w:eastAsia="Calibri" w:cs="Arial"/>
          <w:sz w:val="24"/>
          <w:szCs w:val="24"/>
          <w:lang w:val="af-ZA" w:eastAsia="en-US"/>
        </w:rPr>
        <w:t xml:space="preserve">, on average, is currently payable </w:t>
      </w:r>
      <w:r w:rsidRPr="005015CA">
        <w:rPr>
          <w:rFonts w:eastAsia="Calibri" w:cs="Arial"/>
          <w:sz w:val="24"/>
          <w:szCs w:val="24"/>
          <w:lang w:val="af-ZA" w:eastAsia="en-US"/>
        </w:rPr>
        <w:t>monthly on</w:t>
      </w:r>
      <w:r w:rsidR="00DB6B87">
        <w:rPr>
          <w:rFonts w:eastAsia="Calibri" w:cs="Arial"/>
          <w:sz w:val="24"/>
          <w:szCs w:val="24"/>
          <w:lang w:val="af-ZA" w:eastAsia="en-US"/>
        </w:rPr>
        <w:t xml:space="preserve"> S</w:t>
      </w:r>
      <w:r w:rsidR="00276A1E" w:rsidRPr="005015CA">
        <w:rPr>
          <w:rFonts w:eastAsia="Calibri" w:cs="Arial"/>
          <w:sz w:val="24"/>
          <w:szCs w:val="24"/>
          <w:lang w:val="af-ZA" w:eastAsia="en-US"/>
        </w:rPr>
        <w:t>tate</w:t>
      </w:r>
      <w:r w:rsidR="00DB6B87">
        <w:rPr>
          <w:rFonts w:eastAsia="Calibri" w:cs="Arial"/>
          <w:sz w:val="24"/>
          <w:szCs w:val="24"/>
          <w:lang w:val="af-ZA" w:eastAsia="en-US"/>
        </w:rPr>
        <w:t>-owned</w:t>
      </w:r>
      <w:r w:rsidR="00276A1E" w:rsidRPr="005015CA">
        <w:rPr>
          <w:rFonts w:eastAsia="Calibri" w:cs="Arial"/>
          <w:sz w:val="24"/>
          <w:szCs w:val="24"/>
          <w:lang w:val="af-ZA" w:eastAsia="en-US"/>
        </w:rPr>
        <w:t xml:space="preserve"> properties for</w:t>
      </w:r>
      <w:r w:rsidRPr="005015CA">
        <w:rPr>
          <w:rFonts w:eastAsia="Calibri" w:cs="Arial"/>
          <w:sz w:val="24"/>
          <w:szCs w:val="24"/>
          <w:lang w:val="af-ZA" w:eastAsia="en-US"/>
        </w:rPr>
        <w:t xml:space="preserve"> municipal services</w:t>
      </w:r>
      <w:r w:rsidR="00867BEC">
        <w:rPr>
          <w:rFonts w:eastAsia="Calibri" w:cs="Arial"/>
          <w:sz w:val="24"/>
          <w:szCs w:val="24"/>
          <w:lang w:val="af-ZA" w:eastAsia="en-US"/>
        </w:rPr>
        <w:t xml:space="preserve"> through all regio</w:t>
      </w:r>
      <w:r w:rsidR="00671D81">
        <w:rPr>
          <w:rFonts w:eastAsia="Calibri" w:cs="Arial"/>
          <w:sz w:val="24"/>
          <w:szCs w:val="24"/>
          <w:lang w:val="af-ZA" w:eastAsia="en-US"/>
        </w:rPr>
        <w:t>nal office</w:t>
      </w:r>
      <w:r w:rsidR="00DB6B87">
        <w:rPr>
          <w:rFonts w:eastAsia="Calibri" w:cs="Arial"/>
          <w:sz w:val="24"/>
          <w:szCs w:val="24"/>
          <w:lang w:val="af-ZA" w:eastAsia="en-US"/>
        </w:rPr>
        <w:t>s</w:t>
      </w:r>
      <w:r w:rsidR="00671D81">
        <w:rPr>
          <w:rFonts w:eastAsia="Calibri" w:cs="Arial"/>
          <w:sz w:val="24"/>
          <w:szCs w:val="24"/>
          <w:lang w:val="af-ZA" w:eastAsia="en-US"/>
        </w:rPr>
        <w:t xml:space="preserve"> in all </w:t>
      </w:r>
      <w:r w:rsidR="00DB6B87">
        <w:rPr>
          <w:rFonts w:eastAsia="Calibri" w:cs="Arial"/>
          <w:sz w:val="24"/>
          <w:szCs w:val="24"/>
          <w:lang w:val="af-ZA" w:eastAsia="en-US"/>
        </w:rPr>
        <w:t xml:space="preserve">the </w:t>
      </w:r>
      <w:r w:rsidR="00671D81">
        <w:rPr>
          <w:rFonts w:eastAsia="Calibri" w:cs="Arial"/>
          <w:sz w:val="24"/>
          <w:szCs w:val="24"/>
          <w:lang w:val="af-ZA" w:eastAsia="en-US"/>
        </w:rPr>
        <w:t xml:space="preserve">provinces. </w:t>
      </w:r>
      <w:r w:rsidR="00CC7F90">
        <w:rPr>
          <w:rFonts w:eastAsia="Calibri" w:cs="Arial"/>
          <w:sz w:val="24"/>
          <w:szCs w:val="24"/>
          <w:lang w:val="af-ZA" w:eastAsia="en-US"/>
        </w:rPr>
        <w:t>Attached</w:t>
      </w:r>
      <w:r w:rsidR="00EA4AA1">
        <w:rPr>
          <w:rFonts w:eastAsia="Calibri" w:cs="Arial"/>
          <w:sz w:val="24"/>
          <w:szCs w:val="24"/>
          <w:lang w:val="af-ZA" w:eastAsia="en-US"/>
        </w:rPr>
        <w:t>,</w:t>
      </w:r>
      <w:r w:rsidR="00CC7F90">
        <w:rPr>
          <w:rFonts w:eastAsia="Calibri" w:cs="Arial"/>
          <w:sz w:val="24"/>
          <w:szCs w:val="24"/>
          <w:lang w:val="af-ZA" w:eastAsia="en-US"/>
        </w:rPr>
        <w:t xml:space="preserve"> please </w:t>
      </w:r>
      <w:r w:rsidR="00EA4AA1">
        <w:rPr>
          <w:rFonts w:eastAsia="Calibri" w:cs="Arial"/>
          <w:sz w:val="24"/>
          <w:szCs w:val="24"/>
          <w:lang w:val="af-ZA" w:eastAsia="en-US"/>
        </w:rPr>
        <w:t xml:space="preserve">see </w:t>
      </w:r>
      <w:r w:rsidR="00CC7F90">
        <w:rPr>
          <w:rFonts w:eastAsia="Calibri" w:cs="Arial"/>
          <w:sz w:val="24"/>
          <w:szCs w:val="24"/>
          <w:lang w:val="af-ZA" w:eastAsia="en-US"/>
        </w:rPr>
        <w:t>Annexure 3(b)(ii)</w:t>
      </w:r>
      <w:r w:rsidR="00867BEC">
        <w:rPr>
          <w:rFonts w:eastAsia="Calibri" w:cs="Arial"/>
          <w:sz w:val="24"/>
          <w:szCs w:val="24"/>
          <w:lang w:val="af-ZA" w:eastAsia="en-US"/>
        </w:rPr>
        <w:t xml:space="preserve"> for detail per province</w:t>
      </w:r>
      <w:r w:rsidR="00F81085">
        <w:rPr>
          <w:rFonts w:eastAsia="Calibri" w:cs="Arial"/>
          <w:sz w:val="24"/>
          <w:szCs w:val="24"/>
          <w:lang w:val="af-ZA" w:eastAsia="en-US"/>
        </w:rPr>
        <w:t xml:space="preserve"> in relation to unut</w:t>
      </w:r>
      <w:r w:rsidR="00EB4C75">
        <w:rPr>
          <w:rFonts w:eastAsia="Calibri" w:cs="Arial"/>
          <w:sz w:val="24"/>
          <w:szCs w:val="24"/>
          <w:lang w:val="af-ZA" w:eastAsia="en-US"/>
        </w:rPr>
        <w:t>i</w:t>
      </w:r>
      <w:r w:rsidR="00F81085">
        <w:rPr>
          <w:rFonts w:eastAsia="Calibri" w:cs="Arial"/>
          <w:sz w:val="24"/>
          <w:szCs w:val="24"/>
          <w:lang w:val="af-ZA" w:eastAsia="en-US"/>
        </w:rPr>
        <w:t>lised properties</w:t>
      </w:r>
      <w:r w:rsidR="00671D81">
        <w:rPr>
          <w:rFonts w:eastAsia="Calibri" w:cs="Arial"/>
          <w:sz w:val="24"/>
          <w:szCs w:val="24"/>
          <w:lang w:val="af-ZA" w:eastAsia="en-US"/>
        </w:rPr>
        <w:t>.</w:t>
      </w:r>
    </w:p>
    <w:p w:rsidR="00F81085" w:rsidRPr="00DB6B87" w:rsidRDefault="00F81085" w:rsidP="00DB6B87">
      <w:pPr>
        <w:pStyle w:val="ListParagraph"/>
        <w:numPr>
          <w:ilvl w:val="0"/>
          <w:numId w:val="43"/>
        </w:numPr>
        <w:tabs>
          <w:tab w:val="left" w:pos="1440"/>
        </w:tabs>
        <w:rPr>
          <w:rFonts w:eastAsia="Calibri" w:cs="Arial"/>
          <w:sz w:val="24"/>
          <w:szCs w:val="24"/>
          <w:lang w:val="af-ZA" w:eastAsia="en-US"/>
        </w:rPr>
      </w:pPr>
      <w:r w:rsidRPr="00DB6B87">
        <w:rPr>
          <w:rFonts w:eastAsia="Calibri" w:cs="Arial"/>
          <w:sz w:val="24"/>
          <w:szCs w:val="24"/>
          <w:lang w:val="af-ZA" w:eastAsia="en-US"/>
        </w:rPr>
        <w:t>(a) and (b)</w:t>
      </w:r>
    </w:p>
    <w:p w:rsidR="00F81085" w:rsidRDefault="00F81085" w:rsidP="00F81085">
      <w:pPr>
        <w:tabs>
          <w:tab w:val="left" w:pos="1440"/>
        </w:tabs>
        <w:rPr>
          <w:rFonts w:eastAsia="Calibri" w:cs="Arial"/>
          <w:sz w:val="24"/>
          <w:szCs w:val="24"/>
          <w:lang w:val="af-ZA" w:eastAsia="en-US"/>
        </w:rPr>
      </w:pPr>
    </w:p>
    <w:p w:rsidR="00335139" w:rsidRDefault="00F81085" w:rsidP="00F81085">
      <w:pPr>
        <w:tabs>
          <w:tab w:val="left" w:pos="1440"/>
        </w:tabs>
        <w:ind w:left="1440"/>
        <w:rPr>
          <w:rFonts w:eastAsia="Calibri" w:cs="Arial"/>
          <w:sz w:val="24"/>
          <w:szCs w:val="24"/>
          <w:lang w:val="af-ZA" w:eastAsia="en-US"/>
        </w:rPr>
      </w:pPr>
      <w:r w:rsidRPr="00F81085">
        <w:rPr>
          <w:rFonts w:eastAsia="Calibri" w:cs="Arial"/>
          <w:sz w:val="24"/>
          <w:szCs w:val="24"/>
          <w:lang w:val="af-ZA" w:eastAsia="en-US"/>
        </w:rPr>
        <w:t xml:space="preserve">There are </w:t>
      </w:r>
      <w:r w:rsidR="00335139" w:rsidRPr="00F81085">
        <w:rPr>
          <w:rFonts w:eastAsia="Calibri" w:cs="Arial"/>
          <w:sz w:val="24"/>
          <w:szCs w:val="24"/>
          <w:lang w:val="af-ZA" w:eastAsia="en-US"/>
        </w:rPr>
        <w:t>13</w:t>
      </w:r>
      <w:r w:rsidRPr="00F81085">
        <w:rPr>
          <w:rFonts w:eastAsia="Calibri" w:cs="Arial"/>
          <w:sz w:val="24"/>
          <w:szCs w:val="24"/>
          <w:lang w:val="af-ZA" w:eastAsia="en-US"/>
        </w:rPr>
        <w:t>,043 unutil</w:t>
      </w:r>
      <w:r w:rsidR="00F6281F">
        <w:rPr>
          <w:rFonts w:eastAsia="Calibri" w:cs="Arial"/>
          <w:sz w:val="24"/>
          <w:szCs w:val="24"/>
          <w:lang w:val="af-ZA" w:eastAsia="en-US"/>
        </w:rPr>
        <w:t>ised land parcels under the cust</w:t>
      </w:r>
      <w:r w:rsidRPr="00F81085">
        <w:rPr>
          <w:rFonts w:eastAsia="Calibri" w:cs="Arial"/>
          <w:sz w:val="24"/>
          <w:szCs w:val="24"/>
          <w:lang w:val="af-ZA" w:eastAsia="en-US"/>
        </w:rPr>
        <w:t>odianship of the Department of Public Works</w:t>
      </w:r>
      <w:r>
        <w:rPr>
          <w:rFonts w:eastAsia="Calibri" w:cs="Arial"/>
          <w:sz w:val="24"/>
          <w:szCs w:val="24"/>
          <w:lang w:val="af-ZA" w:eastAsia="en-US"/>
        </w:rPr>
        <w:t xml:space="preserve">.  </w:t>
      </w:r>
      <w:r w:rsidR="00733A6A" w:rsidRPr="00733A6A">
        <w:rPr>
          <w:rFonts w:cs="Arial"/>
          <w:sz w:val="24"/>
          <w:szCs w:val="24"/>
          <w:lang w:eastAsia="en-US"/>
        </w:rPr>
        <w:t>Please refer to Annexure 1(a</w:t>
      </w:r>
      <w:proofErr w:type="gramStart"/>
      <w:r w:rsidR="00733A6A" w:rsidRPr="00733A6A">
        <w:rPr>
          <w:rFonts w:cs="Arial"/>
          <w:sz w:val="24"/>
          <w:szCs w:val="24"/>
          <w:lang w:eastAsia="en-US"/>
        </w:rPr>
        <w:t>)(</w:t>
      </w:r>
      <w:proofErr w:type="gramEnd"/>
      <w:r w:rsidR="00733A6A" w:rsidRPr="00733A6A">
        <w:rPr>
          <w:rFonts w:cs="Arial"/>
          <w:sz w:val="24"/>
          <w:szCs w:val="24"/>
          <w:lang w:eastAsia="en-US"/>
        </w:rPr>
        <w:t>i) for</w:t>
      </w:r>
      <w:r w:rsidRPr="00F81085">
        <w:rPr>
          <w:rFonts w:eastAsia="Calibri" w:cs="Arial"/>
          <w:sz w:val="24"/>
          <w:szCs w:val="24"/>
          <w:lang w:val="af-ZA" w:eastAsia="en-US"/>
        </w:rPr>
        <w:t xml:space="preserve"> detail per province</w:t>
      </w:r>
      <w:r w:rsidR="0007058A">
        <w:rPr>
          <w:rFonts w:eastAsia="Calibri" w:cs="Arial"/>
          <w:sz w:val="24"/>
          <w:szCs w:val="24"/>
          <w:lang w:val="af-ZA" w:eastAsia="en-US"/>
        </w:rPr>
        <w:t>.</w:t>
      </w:r>
    </w:p>
    <w:p w:rsidR="00DB6B87" w:rsidRPr="00F81085" w:rsidRDefault="00DB6B87" w:rsidP="00F81085">
      <w:pPr>
        <w:tabs>
          <w:tab w:val="left" w:pos="1440"/>
        </w:tabs>
        <w:ind w:left="1440"/>
        <w:rPr>
          <w:rFonts w:eastAsia="Calibri" w:cs="Arial"/>
          <w:sz w:val="24"/>
          <w:szCs w:val="24"/>
          <w:lang w:val="af-ZA" w:eastAsia="en-US"/>
        </w:rPr>
      </w:pPr>
    </w:p>
    <w:p w:rsidR="00C12D17" w:rsidRDefault="00DB6B87" w:rsidP="00591850">
      <w:pPr>
        <w:rPr>
          <w:rFonts w:cs="Arial"/>
          <w:b/>
          <w:sz w:val="24"/>
          <w:szCs w:val="24"/>
          <w:lang w:eastAsia="en-US"/>
        </w:rPr>
      </w:pPr>
      <w:r>
        <w:rPr>
          <w:rFonts w:cs="Arial"/>
          <w:b/>
          <w:sz w:val="24"/>
          <w:szCs w:val="24"/>
          <w:lang w:eastAsia="en-US"/>
        </w:rPr>
        <w:t>________________________________________________________________________</w:t>
      </w:r>
    </w:p>
    <w:p w:rsidR="00DB6B87" w:rsidRDefault="00DB6B87" w:rsidP="00591850">
      <w:pPr>
        <w:rPr>
          <w:rFonts w:cs="Arial"/>
          <w:b/>
          <w:sz w:val="24"/>
          <w:szCs w:val="24"/>
          <w:lang w:eastAsia="en-US"/>
        </w:rPr>
      </w:pPr>
    </w:p>
    <w:sectPr w:rsidR="00DB6B87" w:rsidSect="007C2784">
      <w:headerReference w:type="default" r:id="rId10"/>
      <w:footerReference w:type="default" r:id="rId11"/>
      <w:pgSz w:w="12240" w:h="15840"/>
      <w:pgMar w:top="851" w:right="1041" w:bottom="907" w:left="1531" w:header="397" w:footer="2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C1" w:rsidRDefault="00A324C1" w:rsidP="00B01072">
      <w:r>
        <w:separator/>
      </w:r>
    </w:p>
  </w:endnote>
  <w:endnote w:type="continuationSeparator" w:id="0">
    <w:p w:rsidR="00A324C1" w:rsidRDefault="00A324C1"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610BA6">
      <w:rPr>
        <w:rFonts w:eastAsiaTheme="majorEastAsia" w:cs="Arial"/>
        <w:b/>
        <w:sz w:val="18"/>
        <w:szCs w:val="18"/>
      </w:rPr>
      <w:t xml:space="preserve">ION NO. </w:t>
    </w:r>
    <w:r w:rsidR="008E4775">
      <w:rPr>
        <w:rFonts w:cs="Arial"/>
        <w:b/>
        <w:sz w:val="20"/>
        <w:lang w:val="af-ZA" w:eastAsia="en-US"/>
      </w:rPr>
      <w:t>713</w:t>
    </w:r>
    <w:r w:rsidR="005B2F46">
      <w:rPr>
        <w:rFonts w:eastAsiaTheme="majorEastAsia" w:cs="Arial"/>
        <w:b/>
        <w:sz w:val="18"/>
        <w:szCs w:val="18"/>
      </w:rPr>
      <w:t xml:space="preserve"> (WRITTEN</w:t>
    </w:r>
    <w:r>
      <w:rPr>
        <w:rFonts w:eastAsiaTheme="majorEastAsia" w:cs="Arial"/>
        <w:b/>
        <w:sz w:val="18"/>
        <w:szCs w:val="18"/>
      </w:rPr>
      <w:t xml:space="preserve"> REPLY</w:t>
    </w:r>
    <w:r w:rsidRPr="00E526CF">
      <w:rPr>
        <w:rFonts w:eastAsiaTheme="majorEastAsia" w:cs="Arial"/>
        <w:b/>
        <w:sz w:val="18"/>
        <w:szCs w:val="18"/>
      </w:rPr>
      <w:t xml:space="preserve">) </w:t>
    </w:r>
    <w:r w:rsidRPr="00CC6811">
      <w:rPr>
        <w:rFonts w:eastAsiaTheme="majorEastAsia" w:cs="Arial"/>
        <w:b/>
        <w:sz w:val="18"/>
        <w:szCs w:val="18"/>
      </w:rPr>
      <w:t xml:space="preserve">– </w:t>
    </w:r>
    <w:r w:rsidR="00CC6811" w:rsidRPr="00CC6811">
      <w:rPr>
        <w:rFonts w:eastAsia="Calibri" w:cs="Arial"/>
        <w:b/>
        <w:sz w:val="18"/>
        <w:szCs w:val="18"/>
        <w:lang w:val="af-ZA" w:eastAsia="en-US"/>
      </w:rPr>
      <w:t>Ms D Kohler (DA)</w:t>
    </w:r>
    <w:r w:rsidRPr="00E66692">
      <w:rPr>
        <w:rFonts w:eastAsiaTheme="majorEastAsia" w:cs="Arial"/>
        <w:b/>
        <w:sz w:val="18"/>
        <w:szCs w:val="18"/>
      </w:rPr>
      <w:ptab w:relativeTo="margin" w:alignment="right" w:leader="none"/>
    </w:r>
    <w:r w:rsidRPr="00E66692">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97E74" w:rsidRPr="00E97E74">
      <w:rPr>
        <w:rFonts w:eastAsiaTheme="majorEastAsia" w:cs="Arial"/>
        <w:b/>
        <w:noProof/>
        <w:sz w:val="18"/>
        <w:szCs w:val="18"/>
      </w:rPr>
      <w:t>1</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E97E74"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C1" w:rsidRDefault="00A324C1" w:rsidP="00B01072">
      <w:r>
        <w:separator/>
      </w:r>
    </w:p>
  </w:footnote>
  <w:footnote w:type="continuationSeparator" w:id="0">
    <w:p w:rsidR="00A324C1" w:rsidRDefault="00A324C1"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A4AA6"/>
    <w:multiLevelType w:val="hybridMultilevel"/>
    <w:tmpl w:val="0A828596"/>
    <w:lvl w:ilvl="0" w:tplc="6B6A5ECA">
      <w:start w:val="4"/>
      <w:numFmt w:val="decimal"/>
      <w:lvlText w:val="(%1)"/>
      <w:lvlJc w:val="left"/>
      <w:pPr>
        <w:ind w:left="731" w:hanging="360"/>
      </w:pPr>
      <w:rPr>
        <w:rFonts w:hint="default"/>
      </w:r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6">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B716302"/>
    <w:multiLevelType w:val="hybridMultilevel"/>
    <w:tmpl w:val="871A9702"/>
    <w:lvl w:ilvl="0" w:tplc="5F92E8E0">
      <w:start w:val="1"/>
      <w:numFmt w:val="decimal"/>
      <w:lvlText w:val="(%1)"/>
      <w:lvlJc w:val="left"/>
      <w:pPr>
        <w:ind w:left="731" w:hanging="360"/>
      </w:pPr>
      <w:rPr>
        <w:rFonts w:hint="default"/>
        <w:b w:val="0"/>
        <w:color w:val="auto"/>
      </w:rPr>
    </w:lvl>
    <w:lvl w:ilvl="1" w:tplc="1C090019">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1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1">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2">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8">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9">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8">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1"/>
  </w:num>
  <w:num w:numId="2">
    <w:abstractNumId w:val="31"/>
  </w:num>
  <w:num w:numId="3">
    <w:abstractNumId w:val="31"/>
  </w:num>
  <w:num w:numId="4">
    <w:abstractNumId w:val="38"/>
  </w:num>
  <w:num w:numId="5">
    <w:abstractNumId w:val="21"/>
  </w:num>
  <w:num w:numId="6">
    <w:abstractNumId w:val="6"/>
  </w:num>
  <w:num w:numId="7">
    <w:abstractNumId w:val="28"/>
  </w:num>
  <w:num w:numId="8">
    <w:abstractNumId w:val="16"/>
  </w:num>
  <w:num w:numId="9">
    <w:abstractNumId w:val="33"/>
  </w:num>
  <w:num w:numId="10">
    <w:abstractNumId w:val="17"/>
  </w:num>
  <w:num w:numId="11">
    <w:abstractNumId w:val="34"/>
  </w:num>
  <w:num w:numId="12">
    <w:abstractNumId w:val="11"/>
  </w:num>
  <w:num w:numId="13">
    <w:abstractNumId w:val="18"/>
  </w:num>
  <w:num w:numId="14">
    <w:abstractNumId w:val="37"/>
  </w:num>
  <w:num w:numId="15">
    <w:abstractNumId w:val="3"/>
  </w:num>
  <w:num w:numId="16">
    <w:abstractNumId w:val="8"/>
  </w:num>
  <w:num w:numId="17">
    <w:abstractNumId w:val="32"/>
  </w:num>
  <w:num w:numId="18">
    <w:abstractNumId w:val="35"/>
  </w:num>
  <w:num w:numId="19">
    <w:abstractNumId w:val="19"/>
  </w:num>
  <w:num w:numId="20">
    <w:abstractNumId w:val="7"/>
  </w:num>
  <w:num w:numId="21">
    <w:abstractNumId w:val="25"/>
  </w:num>
  <w:num w:numId="22">
    <w:abstractNumId w:val="4"/>
  </w:num>
  <w:num w:numId="23">
    <w:abstractNumId w:val="3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4"/>
  </w:num>
  <w:num w:numId="28">
    <w:abstractNumId w:val="14"/>
  </w:num>
  <w:num w:numId="29">
    <w:abstractNumId w:val="13"/>
  </w:num>
  <w:num w:numId="30">
    <w:abstractNumId w:val="30"/>
  </w:num>
  <w:num w:numId="31">
    <w:abstractNumId w:val="26"/>
  </w:num>
  <w:num w:numId="32">
    <w:abstractNumId w:val="27"/>
  </w:num>
  <w:num w:numId="33">
    <w:abstractNumId w:val="23"/>
  </w:num>
  <w:num w:numId="34">
    <w:abstractNumId w:val="20"/>
  </w:num>
  <w:num w:numId="35">
    <w:abstractNumId w:val="15"/>
  </w:num>
  <w:num w:numId="36">
    <w:abstractNumId w:val="0"/>
  </w:num>
  <w:num w:numId="37">
    <w:abstractNumId w:val="1"/>
  </w:num>
  <w:num w:numId="38">
    <w:abstractNumId w:val="2"/>
  </w:num>
  <w:num w:numId="39">
    <w:abstractNumId w:val="1"/>
  </w:num>
  <w:num w:numId="40">
    <w:abstractNumId w:val="29"/>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24"/>
    <w:rsid w:val="000012D9"/>
    <w:rsid w:val="00006F15"/>
    <w:rsid w:val="00010EA9"/>
    <w:rsid w:val="00012BEB"/>
    <w:rsid w:val="000173E2"/>
    <w:rsid w:val="000205FB"/>
    <w:rsid w:val="00020C71"/>
    <w:rsid w:val="00020EBB"/>
    <w:rsid w:val="00021C96"/>
    <w:rsid w:val="00021CD9"/>
    <w:rsid w:val="00022D2D"/>
    <w:rsid w:val="00034295"/>
    <w:rsid w:val="00041696"/>
    <w:rsid w:val="0004565E"/>
    <w:rsid w:val="00045D9F"/>
    <w:rsid w:val="000528E1"/>
    <w:rsid w:val="00055103"/>
    <w:rsid w:val="000574C9"/>
    <w:rsid w:val="000606E7"/>
    <w:rsid w:val="00063548"/>
    <w:rsid w:val="000656CA"/>
    <w:rsid w:val="0007058A"/>
    <w:rsid w:val="00070C85"/>
    <w:rsid w:val="0007437F"/>
    <w:rsid w:val="00074F49"/>
    <w:rsid w:val="00081358"/>
    <w:rsid w:val="00085D59"/>
    <w:rsid w:val="00095FFF"/>
    <w:rsid w:val="0009751E"/>
    <w:rsid w:val="000A08C0"/>
    <w:rsid w:val="000B1923"/>
    <w:rsid w:val="000B4241"/>
    <w:rsid w:val="000B4F40"/>
    <w:rsid w:val="000C70FB"/>
    <w:rsid w:val="000D1316"/>
    <w:rsid w:val="000D3F7C"/>
    <w:rsid w:val="000D41E1"/>
    <w:rsid w:val="000D4D74"/>
    <w:rsid w:val="000D5A5D"/>
    <w:rsid w:val="000D600B"/>
    <w:rsid w:val="000E0C57"/>
    <w:rsid w:val="000E14FF"/>
    <w:rsid w:val="00107822"/>
    <w:rsid w:val="00110781"/>
    <w:rsid w:val="00111AB1"/>
    <w:rsid w:val="00123E02"/>
    <w:rsid w:val="00125195"/>
    <w:rsid w:val="00131356"/>
    <w:rsid w:val="001340CE"/>
    <w:rsid w:val="00140E93"/>
    <w:rsid w:val="001449BF"/>
    <w:rsid w:val="00146BDC"/>
    <w:rsid w:val="00152C01"/>
    <w:rsid w:val="00162A0F"/>
    <w:rsid w:val="0016489C"/>
    <w:rsid w:val="001651D8"/>
    <w:rsid w:val="001729E9"/>
    <w:rsid w:val="00177367"/>
    <w:rsid w:val="001833AC"/>
    <w:rsid w:val="00186B9A"/>
    <w:rsid w:val="00195440"/>
    <w:rsid w:val="001A22C6"/>
    <w:rsid w:val="001A5AFF"/>
    <w:rsid w:val="001B77CD"/>
    <w:rsid w:val="001C2A53"/>
    <w:rsid w:val="001C2B34"/>
    <w:rsid w:val="001C602F"/>
    <w:rsid w:val="001C6CA1"/>
    <w:rsid w:val="001E486F"/>
    <w:rsid w:val="001F0D11"/>
    <w:rsid w:val="001F1F16"/>
    <w:rsid w:val="001F63B5"/>
    <w:rsid w:val="00203E0F"/>
    <w:rsid w:val="00206C11"/>
    <w:rsid w:val="00220172"/>
    <w:rsid w:val="002229B7"/>
    <w:rsid w:val="002265CB"/>
    <w:rsid w:val="0023195F"/>
    <w:rsid w:val="00232D48"/>
    <w:rsid w:val="0023448E"/>
    <w:rsid w:val="00243357"/>
    <w:rsid w:val="00255225"/>
    <w:rsid w:val="00263A84"/>
    <w:rsid w:val="00275F2F"/>
    <w:rsid w:val="00276A1E"/>
    <w:rsid w:val="002833A4"/>
    <w:rsid w:val="00291BC2"/>
    <w:rsid w:val="00294275"/>
    <w:rsid w:val="002A5D13"/>
    <w:rsid w:val="002B2F32"/>
    <w:rsid w:val="002B58DE"/>
    <w:rsid w:val="002B6C2E"/>
    <w:rsid w:val="002C175C"/>
    <w:rsid w:val="002C603A"/>
    <w:rsid w:val="002C7394"/>
    <w:rsid w:val="002D4F46"/>
    <w:rsid w:val="003074FB"/>
    <w:rsid w:val="00307BEC"/>
    <w:rsid w:val="003137E1"/>
    <w:rsid w:val="00321FAA"/>
    <w:rsid w:val="003241F6"/>
    <w:rsid w:val="00325E8F"/>
    <w:rsid w:val="00330E0B"/>
    <w:rsid w:val="00335139"/>
    <w:rsid w:val="00343207"/>
    <w:rsid w:val="00351A07"/>
    <w:rsid w:val="003526B8"/>
    <w:rsid w:val="00352AC2"/>
    <w:rsid w:val="003563FA"/>
    <w:rsid w:val="0037086C"/>
    <w:rsid w:val="003718A9"/>
    <w:rsid w:val="003731CC"/>
    <w:rsid w:val="00382C94"/>
    <w:rsid w:val="00391749"/>
    <w:rsid w:val="00393240"/>
    <w:rsid w:val="003A3650"/>
    <w:rsid w:val="003B0590"/>
    <w:rsid w:val="003D262F"/>
    <w:rsid w:val="003D3867"/>
    <w:rsid w:val="003D7908"/>
    <w:rsid w:val="003E5694"/>
    <w:rsid w:val="003F34DB"/>
    <w:rsid w:val="003F3ABB"/>
    <w:rsid w:val="003F628A"/>
    <w:rsid w:val="00413C62"/>
    <w:rsid w:val="00426848"/>
    <w:rsid w:val="00432C4E"/>
    <w:rsid w:val="004342FE"/>
    <w:rsid w:val="00435691"/>
    <w:rsid w:val="004378DC"/>
    <w:rsid w:val="0044149F"/>
    <w:rsid w:val="00453445"/>
    <w:rsid w:val="00453FC8"/>
    <w:rsid w:val="00472253"/>
    <w:rsid w:val="00473963"/>
    <w:rsid w:val="004739D7"/>
    <w:rsid w:val="00477682"/>
    <w:rsid w:val="0049133C"/>
    <w:rsid w:val="00493FB3"/>
    <w:rsid w:val="0049710C"/>
    <w:rsid w:val="004C3C1E"/>
    <w:rsid w:val="004C5597"/>
    <w:rsid w:val="004C6EB7"/>
    <w:rsid w:val="004D1663"/>
    <w:rsid w:val="004D2F24"/>
    <w:rsid w:val="004D45F3"/>
    <w:rsid w:val="004D48E8"/>
    <w:rsid w:val="004D75F4"/>
    <w:rsid w:val="004E4337"/>
    <w:rsid w:val="004F1639"/>
    <w:rsid w:val="004F3508"/>
    <w:rsid w:val="005015CA"/>
    <w:rsid w:val="00501775"/>
    <w:rsid w:val="00510577"/>
    <w:rsid w:val="0052191D"/>
    <w:rsid w:val="0052239F"/>
    <w:rsid w:val="0053382B"/>
    <w:rsid w:val="005449EC"/>
    <w:rsid w:val="00545551"/>
    <w:rsid w:val="00545CE7"/>
    <w:rsid w:val="00560E8F"/>
    <w:rsid w:val="00563D73"/>
    <w:rsid w:val="0057746F"/>
    <w:rsid w:val="00581834"/>
    <w:rsid w:val="00591850"/>
    <w:rsid w:val="005940D1"/>
    <w:rsid w:val="005B1A94"/>
    <w:rsid w:val="005B1E2B"/>
    <w:rsid w:val="005B2F46"/>
    <w:rsid w:val="005C570C"/>
    <w:rsid w:val="005D1762"/>
    <w:rsid w:val="005D477F"/>
    <w:rsid w:val="005E2D86"/>
    <w:rsid w:val="005E535A"/>
    <w:rsid w:val="005E6AF1"/>
    <w:rsid w:val="005F4C62"/>
    <w:rsid w:val="0060047A"/>
    <w:rsid w:val="006049D3"/>
    <w:rsid w:val="00610BA6"/>
    <w:rsid w:val="00611F40"/>
    <w:rsid w:val="00616097"/>
    <w:rsid w:val="00623007"/>
    <w:rsid w:val="00623053"/>
    <w:rsid w:val="00624A4D"/>
    <w:rsid w:val="00625573"/>
    <w:rsid w:val="00625AF0"/>
    <w:rsid w:val="006343C2"/>
    <w:rsid w:val="006440BD"/>
    <w:rsid w:val="006462D7"/>
    <w:rsid w:val="00670BA5"/>
    <w:rsid w:val="00671D81"/>
    <w:rsid w:val="00675570"/>
    <w:rsid w:val="00684BB6"/>
    <w:rsid w:val="00685646"/>
    <w:rsid w:val="00685BFE"/>
    <w:rsid w:val="00695558"/>
    <w:rsid w:val="006A027A"/>
    <w:rsid w:val="006A05C9"/>
    <w:rsid w:val="006B79CB"/>
    <w:rsid w:val="006C0BAE"/>
    <w:rsid w:val="006C3E5B"/>
    <w:rsid w:val="006D0841"/>
    <w:rsid w:val="006D1A51"/>
    <w:rsid w:val="006D4597"/>
    <w:rsid w:val="006D689A"/>
    <w:rsid w:val="006E54EA"/>
    <w:rsid w:val="006F2930"/>
    <w:rsid w:val="006F36F8"/>
    <w:rsid w:val="006F490A"/>
    <w:rsid w:val="007010E9"/>
    <w:rsid w:val="00701428"/>
    <w:rsid w:val="0070149E"/>
    <w:rsid w:val="00705DD0"/>
    <w:rsid w:val="00712D78"/>
    <w:rsid w:val="007144AF"/>
    <w:rsid w:val="007177E7"/>
    <w:rsid w:val="00721E9A"/>
    <w:rsid w:val="00724194"/>
    <w:rsid w:val="0073270F"/>
    <w:rsid w:val="00733A6A"/>
    <w:rsid w:val="0074086A"/>
    <w:rsid w:val="007422B3"/>
    <w:rsid w:val="00757823"/>
    <w:rsid w:val="00760875"/>
    <w:rsid w:val="00774E44"/>
    <w:rsid w:val="00785E84"/>
    <w:rsid w:val="00794233"/>
    <w:rsid w:val="007950DA"/>
    <w:rsid w:val="007A03D5"/>
    <w:rsid w:val="007C2784"/>
    <w:rsid w:val="007C3939"/>
    <w:rsid w:val="007C5686"/>
    <w:rsid w:val="007E0072"/>
    <w:rsid w:val="007E3B7C"/>
    <w:rsid w:val="007E4E3E"/>
    <w:rsid w:val="007E63B3"/>
    <w:rsid w:val="008039CD"/>
    <w:rsid w:val="008232E5"/>
    <w:rsid w:val="00836EA6"/>
    <w:rsid w:val="00842D3F"/>
    <w:rsid w:val="00846104"/>
    <w:rsid w:val="00846C06"/>
    <w:rsid w:val="00850A5D"/>
    <w:rsid w:val="00867BEC"/>
    <w:rsid w:val="008717E7"/>
    <w:rsid w:val="00873D00"/>
    <w:rsid w:val="0088064A"/>
    <w:rsid w:val="008907B2"/>
    <w:rsid w:val="00895B01"/>
    <w:rsid w:val="008A7CC3"/>
    <w:rsid w:val="008B3660"/>
    <w:rsid w:val="008C472C"/>
    <w:rsid w:val="008D1494"/>
    <w:rsid w:val="008D6945"/>
    <w:rsid w:val="008D76F1"/>
    <w:rsid w:val="008E4775"/>
    <w:rsid w:val="008F177A"/>
    <w:rsid w:val="008F2A9F"/>
    <w:rsid w:val="009148F7"/>
    <w:rsid w:val="00916D71"/>
    <w:rsid w:val="00926BCD"/>
    <w:rsid w:val="00937DC0"/>
    <w:rsid w:val="00940E46"/>
    <w:rsid w:val="00970F77"/>
    <w:rsid w:val="00976436"/>
    <w:rsid w:val="009776AC"/>
    <w:rsid w:val="00980BB4"/>
    <w:rsid w:val="00980D7C"/>
    <w:rsid w:val="00996018"/>
    <w:rsid w:val="00997315"/>
    <w:rsid w:val="009A121F"/>
    <w:rsid w:val="009A34AE"/>
    <w:rsid w:val="009B418A"/>
    <w:rsid w:val="009B7DB2"/>
    <w:rsid w:val="009C7887"/>
    <w:rsid w:val="009D21B9"/>
    <w:rsid w:val="009F4EFA"/>
    <w:rsid w:val="00A213AD"/>
    <w:rsid w:val="00A23D03"/>
    <w:rsid w:val="00A324C1"/>
    <w:rsid w:val="00A40448"/>
    <w:rsid w:val="00A4432D"/>
    <w:rsid w:val="00A46014"/>
    <w:rsid w:val="00A50E27"/>
    <w:rsid w:val="00A52976"/>
    <w:rsid w:val="00A5375C"/>
    <w:rsid w:val="00A546B6"/>
    <w:rsid w:val="00A70E0E"/>
    <w:rsid w:val="00A7275E"/>
    <w:rsid w:val="00A7279C"/>
    <w:rsid w:val="00A74C8E"/>
    <w:rsid w:val="00A82594"/>
    <w:rsid w:val="00A83487"/>
    <w:rsid w:val="00A852C4"/>
    <w:rsid w:val="00A91F96"/>
    <w:rsid w:val="00AA56F8"/>
    <w:rsid w:val="00AC56FD"/>
    <w:rsid w:val="00AC73FF"/>
    <w:rsid w:val="00AD0F40"/>
    <w:rsid w:val="00AD36D1"/>
    <w:rsid w:val="00AE1CD0"/>
    <w:rsid w:val="00AE2E32"/>
    <w:rsid w:val="00AE3D8F"/>
    <w:rsid w:val="00B00665"/>
    <w:rsid w:val="00B00D22"/>
    <w:rsid w:val="00B01072"/>
    <w:rsid w:val="00B016B6"/>
    <w:rsid w:val="00B04C0E"/>
    <w:rsid w:val="00B127B2"/>
    <w:rsid w:val="00B216DA"/>
    <w:rsid w:val="00B32F50"/>
    <w:rsid w:val="00B40287"/>
    <w:rsid w:val="00B44E3D"/>
    <w:rsid w:val="00B76EA0"/>
    <w:rsid w:val="00B7781B"/>
    <w:rsid w:val="00BD53C1"/>
    <w:rsid w:val="00BD6CA5"/>
    <w:rsid w:val="00BF7FE7"/>
    <w:rsid w:val="00C12D17"/>
    <w:rsid w:val="00C143AE"/>
    <w:rsid w:val="00C143C0"/>
    <w:rsid w:val="00C16434"/>
    <w:rsid w:val="00C2072D"/>
    <w:rsid w:val="00C438C9"/>
    <w:rsid w:val="00C55CF0"/>
    <w:rsid w:val="00C70109"/>
    <w:rsid w:val="00C734C8"/>
    <w:rsid w:val="00C94B70"/>
    <w:rsid w:val="00CA1ED8"/>
    <w:rsid w:val="00CC07E1"/>
    <w:rsid w:val="00CC255F"/>
    <w:rsid w:val="00CC2ECC"/>
    <w:rsid w:val="00CC6811"/>
    <w:rsid w:val="00CC69B7"/>
    <w:rsid w:val="00CC7F90"/>
    <w:rsid w:val="00CE70D6"/>
    <w:rsid w:val="00CF570F"/>
    <w:rsid w:val="00D00A7D"/>
    <w:rsid w:val="00D14B85"/>
    <w:rsid w:val="00D26A6A"/>
    <w:rsid w:val="00D377B6"/>
    <w:rsid w:val="00D41166"/>
    <w:rsid w:val="00D42FF6"/>
    <w:rsid w:val="00D43797"/>
    <w:rsid w:val="00D4613E"/>
    <w:rsid w:val="00D51778"/>
    <w:rsid w:val="00D54528"/>
    <w:rsid w:val="00D574C7"/>
    <w:rsid w:val="00D74A2D"/>
    <w:rsid w:val="00D808A9"/>
    <w:rsid w:val="00D82B08"/>
    <w:rsid w:val="00DA5567"/>
    <w:rsid w:val="00DB174C"/>
    <w:rsid w:val="00DB6B87"/>
    <w:rsid w:val="00DC0282"/>
    <w:rsid w:val="00DC10B2"/>
    <w:rsid w:val="00DC4E5A"/>
    <w:rsid w:val="00DC5378"/>
    <w:rsid w:val="00DC7EE3"/>
    <w:rsid w:val="00DD1295"/>
    <w:rsid w:val="00DD25EB"/>
    <w:rsid w:val="00DD2E6A"/>
    <w:rsid w:val="00DD5FC2"/>
    <w:rsid w:val="00DE05AF"/>
    <w:rsid w:val="00DE24CD"/>
    <w:rsid w:val="00DF1799"/>
    <w:rsid w:val="00DF6074"/>
    <w:rsid w:val="00E0095B"/>
    <w:rsid w:val="00E02D89"/>
    <w:rsid w:val="00E0385B"/>
    <w:rsid w:val="00E06692"/>
    <w:rsid w:val="00E123EB"/>
    <w:rsid w:val="00E16F8D"/>
    <w:rsid w:val="00E23474"/>
    <w:rsid w:val="00E275CB"/>
    <w:rsid w:val="00E36049"/>
    <w:rsid w:val="00E3748A"/>
    <w:rsid w:val="00E44ADB"/>
    <w:rsid w:val="00E5230C"/>
    <w:rsid w:val="00E526CF"/>
    <w:rsid w:val="00E60FD3"/>
    <w:rsid w:val="00E66692"/>
    <w:rsid w:val="00E74EEE"/>
    <w:rsid w:val="00E779E4"/>
    <w:rsid w:val="00E808B7"/>
    <w:rsid w:val="00E8666B"/>
    <w:rsid w:val="00E969BE"/>
    <w:rsid w:val="00E97E74"/>
    <w:rsid w:val="00EA26C6"/>
    <w:rsid w:val="00EA4AA1"/>
    <w:rsid w:val="00EB2C0B"/>
    <w:rsid w:val="00EB4C75"/>
    <w:rsid w:val="00EC4852"/>
    <w:rsid w:val="00EC595C"/>
    <w:rsid w:val="00ED18ED"/>
    <w:rsid w:val="00ED4290"/>
    <w:rsid w:val="00EE2AEC"/>
    <w:rsid w:val="00EE465F"/>
    <w:rsid w:val="00EF2079"/>
    <w:rsid w:val="00EF25FA"/>
    <w:rsid w:val="00EF3E7D"/>
    <w:rsid w:val="00EF608A"/>
    <w:rsid w:val="00EF7DE9"/>
    <w:rsid w:val="00F07CC1"/>
    <w:rsid w:val="00F14A09"/>
    <w:rsid w:val="00F2200D"/>
    <w:rsid w:val="00F26CF4"/>
    <w:rsid w:val="00F26E1D"/>
    <w:rsid w:val="00F3063A"/>
    <w:rsid w:val="00F318FF"/>
    <w:rsid w:val="00F341E9"/>
    <w:rsid w:val="00F3566A"/>
    <w:rsid w:val="00F35DFD"/>
    <w:rsid w:val="00F43075"/>
    <w:rsid w:val="00F50930"/>
    <w:rsid w:val="00F5621E"/>
    <w:rsid w:val="00F57765"/>
    <w:rsid w:val="00F57C59"/>
    <w:rsid w:val="00F6281F"/>
    <w:rsid w:val="00F637DB"/>
    <w:rsid w:val="00F63F16"/>
    <w:rsid w:val="00F73C7B"/>
    <w:rsid w:val="00F8042B"/>
    <w:rsid w:val="00F809F4"/>
    <w:rsid w:val="00F80BD0"/>
    <w:rsid w:val="00F81085"/>
    <w:rsid w:val="00F84401"/>
    <w:rsid w:val="00F84A5B"/>
    <w:rsid w:val="00F930FA"/>
    <w:rsid w:val="00FA039D"/>
    <w:rsid w:val="00FA5EB0"/>
    <w:rsid w:val="00FC336B"/>
    <w:rsid w:val="00FD6ED3"/>
    <w:rsid w:val="00FE5055"/>
    <w:rsid w:val="00FE516A"/>
    <w:rsid w:val="00FF26B7"/>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F3"/>
    <w:pPr>
      <w:jc w:val="both"/>
    </w:pPr>
    <w:rPr>
      <w:rFonts w:ascii="Arial" w:hAnsi="Arial"/>
      <w:sz w:val="22"/>
      <w:lang w:val="en-GB"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5440"/>
    <w:pPr>
      <w:spacing w:before="100" w:beforeAutospacing="1" w:after="100" w:afterAutospacing="1"/>
      <w:jc w:val="left"/>
    </w:pPr>
    <w:rPr>
      <w:rFonts w:ascii="Times New Roman" w:hAnsi="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5F3"/>
    <w:pPr>
      <w:jc w:val="both"/>
    </w:pPr>
    <w:rPr>
      <w:rFonts w:ascii="Arial" w:hAnsi="Arial"/>
      <w:sz w:val="22"/>
      <w:lang w:val="en-GB"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5440"/>
    <w:pPr>
      <w:spacing w:before="100" w:beforeAutospacing="1" w:after="100" w:afterAutospacing="1"/>
      <w:jc w:val="left"/>
    </w:pPr>
    <w:rPr>
      <w:rFonts w:ascii="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109">
      <w:bodyDiv w:val="1"/>
      <w:marLeft w:val="0"/>
      <w:marRight w:val="0"/>
      <w:marTop w:val="0"/>
      <w:marBottom w:val="0"/>
      <w:divBdr>
        <w:top w:val="none" w:sz="0" w:space="0" w:color="auto"/>
        <w:left w:val="none" w:sz="0" w:space="0" w:color="auto"/>
        <w:bottom w:val="none" w:sz="0" w:space="0" w:color="auto"/>
        <w:right w:val="none" w:sz="0" w:space="0" w:color="auto"/>
      </w:divBdr>
    </w:div>
    <w:div w:id="145320759">
      <w:bodyDiv w:val="1"/>
      <w:marLeft w:val="0"/>
      <w:marRight w:val="0"/>
      <w:marTop w:val="0"/>
      <w:marBottom w:val="0"/>
      <w:divBdr>
        <w:top w:val="none" w:sz="0" w:space="0" w:color="auto"/>
        <w:left w:val="none" w:sz="0" w:space="0" w:color="auto"/>
        <w:bottom w:val="none" w:sz="0" w:space="0" w:color="auto"/>
        <w:right w:val="none" w:sz="0" w:space="0" w:color="auto"/>
      </w:divBdr>
    </w:div>
    <w:div w:id="185488085">
      <w:bodyDiv w:val="1"/>
      <w:marLeft w:val="0"/>
      <w:marRight w:val="0"/>
      <w:marTop w:val="0"/>
      <w:marBottom w:val="0"/>
      <w:divBdr>
        <w:top w:val="none" w:sz="0" w:space="0" w:color="auto"/>
        <w:left w:val="none" w:sz="0" w:space="0" w:color="auto"/>
        <w:bottom w:val="none" w:sz="0" w:space="0" w:color="auto"/>
        <w:right w:val="none" w:sz="0" w:space="0" w:color="auto"/>
      </w:divBdr>
    </w:div>
    <w:div w:id="306710370">
      <w:bodyDiv w:val="1"/>
      <w:marLeft w:val="0"/>
      <w:marRight w:val="0"/>
      <w:marTop w:val="0"/>
      <w:marBottom w:val="0"/>
      <w:divBdr>
        <w:top w:val="none" w:sz="0" w:space="0" w:color="auto"/>
        <w:left w:val="none" w:sz="0" w:space="0" w:color="auto"/>
        <w:bottom w:val="none" w:sz="0" w:space="0" w:color="auto"/>
        <w:right w:val="none" w:sz="0" w:space="0" w:color="auto"/>
      </w:divBdr>
    </w:div>
    <w:div w:id="32093658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95082244">
      <w:bodyDiv w:val="1"/>
      <w:marLeft w:val="0"/>
      <w:marRight w:val="0"/>
      <w:marTop w:val="0"/>
      <w:marBottom w:val="0"/>
      <w:divBdr>
        <w:top w:val="none" w:sz="0" w:space="0" w:color="auto"/>
        <w:left w:val="none" w:sz="0" w:space="0" w:color="auto"/>
        <w:bottom w:val="none" w:sz="0" w:space="0" w:color="auto"/>
        <w:right w:val="none" w:sz="0" w:space="0" w:color="auto"/>
      </w:divBdr>
    </w:div>
    <w:div w:id="604195072">
      <w:bodyDiv w:val="1"/>
      <w:marLeft w:val="0"/>
      <w:marRight w:val="0"/>
      <w:marTop w:val="0"/>
      <w:marBottom w:val="0"/>
      <w:divBdr>
        <w:top w:val="none" w:sz="0" w:space="0" w:color="auto"/>
        <w:left w:val="none" w:sz="0" w:space="0" w:color="auto"/>
        <w:bottom w:val="none" w:sz="0" w:space="0" w:color="auto"/>
        <w:right w:val="none" w:sz="0" w:space="0" w:color="auto"/>
      </w:divBdr>
    </w:div>
    <w:div w:id="65892244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93056842">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141850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59488819">
      <w:bodyDiv w:val="1"/>
      <w:marLeft w:val="0"/>
      <w:marRight w:val="0"/>
      <w:marTop w:val="0"/>
      <w:marBottom w:val="0"/>
      <w:divBdr>
        <w:top w:val="none" w:sz="0" w:space="0" w:color="auto"/>
        <w:left w:val="none" w:sz="0" w:space="0" w:color="auto"/>
        <w:bottom w:val="none" w:sz="0" w:space="0" w:color="auto"/>
        <w:right w:val="none" w:sz="0" w:space="0" w:color="auto"/>
      </w:divBdr>
    </w:div>
    <w:div w:id="1614942875">
      <w:bodyDiv w:val="1"/>
      <w:marLeft w:val="0"/>
      <w:marRight w:val="0"/>
      <w:marTop w:val="0"/>
      <w:marBottom w:val="0"/>
      <w:divBdr>
        <w:top w:val="none" w:sz="0" w:space="0" w:color="auto"/>
        <w:left w:val="none" w:sz="0" w:space="0" w:color="auto"/>
        <w:bottom w:val="none" w:sz="0" w:space="0" w:color="auto"/>
        <w:right w:val="none" w:sz="0" w:space="0" w:color="auto"/>
      </w:divBdr>
    </w:div>
    <w:div w:id="1644122447">
      <w:bodyDiv w:val="1"/>
      <w:marLeft w:val="0"/>
      <w:marRight w:val="0"/>
      <w:marTop w:val="0"/>
      <w:marBottom w:val="0"/>
      <w:divBdr>
        <w:top w:val="none" w:sz="0" w:space="0" w:color="auto"/>
        <w:left w:val="none" w:sz="0" w:space="0" w:color="auto"/>
        <w:bottom w:val="none" w:sz="0" w:space="0" w:color="auto"/>
        <w:right w:val="none" w:sz="0" w:space="0" w:color="auto"/>
      </w:divBdr>
    </w:div>
    <w:div w:id="1650934736">
      <w:bodyDiv w:val="1"/>
      <w:marLeft w:val="0"/>
      <w:marRight w:val="0"/>
      <w:marTop w:val="0"/>
      <w:marBottom w:val="0"/>
      <w:divBdr>
        <w:top w:val="none" w:sz="0" w:space="0" w:color="auto"/>
        <w:left w:val="none" w:sz="0" w:space="0" w:color="auto"/>
        <w:bottom w:val="none" w:sz="0" w:space="0" w:color="auto"/>
        <w:right w:val="none" w:sz="0" w:space="0" w:color="auto"/>
      </w:divBdr>
    </w:div>
    <w:div w:id="1873223439">
      <w:bodyDiv w:val="1"/>
      <w:marLeft w:val="0"/>
      <w:marRight w:val="0"/>
      <w:marTop w:val="0"/>
      <w:marBottom w:val="0"/>
      <w:divBdr>
        <w:top w:val="none" w:sz="0" w:space="0" w:color="auto"/>
        <w:left w:val="none" w:sz="0" w:space="0" w:color="auto"/>
        <w:bottom w:val="none" w:sz="0" w:space="0" w:color="auto"/>
        <w:right w:val="none" w:sz="0" w:space="0" w:color="auto"/>
      </w:divBdr>
    </w:div>
    <w:div w:id="1881285658">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2016-05-03T12:32:00Z</cp:lastPrinted>
  <dcterms:created xsi:type="dcterms:W3CDTF">2016-05-26T13:05:00Z</dcterms:created>
  <dcterms:modified xsi:type="dcterms:W3CDTF">2016-05-26T13:05:00Z</dcterms:modified>
</cp:coreProperties>
</file>