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C5" w:rsidRPr="00B177C5" w:rsidRDefault="002C4AAE" w:rsidP="00B177C5">
      <w:pPr>
        <w:jc w:val="center"/>
        <w:rPr>
          <w:rFonts w:eastAsia="Calibri"/>
          <w:sz w:val="24"/>
          <w:szCs w:val="24"/>
          <w:lang w:val="en-ZA" w:eastAsia="en-ZA"/>
        </w:rPr>
      </w:pPr>
      <w:bookmarkStart w:id="0" w:name="_GoBack"/>
      <w:bookmarkEnd w:id="0"/>
      <w:r w:rsidRPr="00B177C5">
        <w:rPr>
          <w:rFonts w:ascii="Arial" w:hAnsi="Arial" w:cs="Arial"/>
          <w:noProof/>
          <w:sz w:val="24"/>
          <w:szCs w:val="24"/>
          <w:lang w:val="en-US"/>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9D78E5">
      <w:pPr>
        <w:tabs>
          <w:tab w:val="right" w:pos="10086"/>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9D78E5">
        <w:rPr>
          <w:b/>
          <w:sz w:val="24"/>
          <w:szCs w:val="24"/>
        </w:rPr>
        <w:tab/>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0E6775">
        <w:rPr>
          <w:b/>
          <w:sz w:val="24"/>
          <w:szCs w:val="24"/>
        </w:rPr>
        <w:t>700</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DATE OF PUBLICATION</w:t>
      </w:r>
      <w:r w:rsidR="00C708B7" w:rsidRPr="0055709D">
        <w:rPr>
          <w:b/>
          <w:sz w:val="24"/>
          <w:szCs w:val="24"/>
        </w:rPr>
        <w:t xml:space="preserve">: </w:t>
      </w:r>
      <w:r w:rsidR="00F16BF4">
        <w:rPr>
          <w:b/>
          <w:sz w:val="24"/>
          <w:szCs w:val="24"/>
        </w:rPr>
        <w:t>24</w:t>
      </w:r>
      <w:r w:rsidR="00C708B7">
        <w:rPr>
          <w:b/>
          <w:sz w:val="24"/>
          <w:szCs w:val="24"/>
        </w:rPr>
        <w:t xml:space="preserve"> APRIL 2020</w:t>
      </w:r>
    </w:p>
    <w:p w:rsidR="00B177C5" w:rsidRDefault="00B177C5" w:rsidP="00B177C5">
      <w:pPr>
        <w:rPr>
          <w:b/>
          <w:sz w:val="24"/>
          <w:szCs w:val="24"/>
        </w:rPr>
      </w:pPr>
    </w:p>
    <w:p w:rsidR="000E6775" w:rsidRPr="00543AC8" w:rsidRDefault="000E6775" w:rsidP="000E6775">
      <w:pPr>
        <w:spacing w:before="100" w:beforeAutospacing="1" w:after="100" w:afterAutospacing="1"/>
        <w:ind w:left="720" w:hanging="720"/>
        <w:jc w:val="both"/>
        <w:outlineLvl w:val="0"/>
        <w:rPr>
          <w:sz w:val="24"/>
          <w:szCs w:val="24"/>
        </w:rPr>
      </w:pPr>
      <w:r w:rsidRPr="00543AC8">
        <w:rPr>
          <w:b/>
          <w:sz w:val="24"/>
          <w:szCs w:val="24"/>
        </w:rPr>
        <w:t>Mr M Bagraim (DA) to ask the Minister of Human Settlements, Water and Sanitation</w:t>
      </w:r>
      <w:r>
        <w:rPr>
          <w:b/>
          <w:sz w:val="24"/>
          <w:szCs w:val="24"/>
        </w:rPr>
        <w:fldChar w:fldCharType="begin"/>
      </w:r>
      <w:r>
        <w:instrText xml:space="preserve"> XE "</w:instrText>
      </w:r>
      <w:r w:rsidRPr="00492EEF">
        <w:rPr>
          <w:b/>
          <w:bCs/>
          <w:sz w:val="24"/>
          <w:szCs w:val="24"/>
        </w:rPr>
        <w:instrText xml:space="preserve">Human </w:instrText>
      </w:r>
      <w:r w:rsidRPr="00492EEF">
        <w:rPr>
          <w:b/>
          <w:sz w:val="24"/>
          <w:szCs w:val="24"/>
          <w:lang w:val="en-US"/>
        </w:rPr>
        <w:instrText>Settlements</w:instrText>
      </w:r>
      <w:r w:rsidRPr="00492EEF">
        <w:rPr>
          <w:b/>
          <w:bCs/>
          <w:sz w:val="24"/>
          <w:szCs w:val="24"/>
        </w:rPr>
        <w:instrText>, Water and Sanitation</w:instrText>
      </w:r>
      <w:r>
        <w:instrText xml:space="preserve">" </w:instrText>
      </w:r>
      <w:r>
        <w:rPr>
          <w:b/>
          <w:sz w:val="24"/>
          <w:szCs w:val="24"/>
        </w:rPr>
        <w:fldChar w:fldCharType="end"/>
      </w:r>
      <w:r w:rsidRPr="00543AC8">
        <w:rPr>
          <w:b/>
          <w:sz w:val="24"/>
          <w:szCs w:val="24"/>
        </w:rPr>
        <w:t>:</w:t>
      </w:r>
    </w:p>
    <w:p w:rsidR="000E6775" w:rsidRPr="00543AC8" w:rsidRDefault="000E6775" w:rsidP="000E6775">
      <w:pPr>
        <w:spacing w:before="100" w:beforeAutospacing="1" w:after="100" w:afterAutospacing="1"/>
        <w:ind w:left="720" w:hanging="720"/>
        <w:jc w:val="both"/>
        <w:rPr>
          <w:sz w:val="24"/>
          <w:szCs w:val="24"/>
        </w:rPr>
      </w:pPr>
      <w:r w:rsidRPr="00543AC8">
        <w:rPr>
          <w:sz w:val="24"/>
          <w:szCs w:val="24"/>
        </w:rPr>
        <w:t>(1)</w:t>
      </w:r>
      <w:r w:rsidRPr="00543AC8">
        <w:rPr>
          <w:sz w:val="24"/>
          <w:szCs w:val="24"/>
        </w:rPr>
        <w:tab/>
        <w:t xml:space="preserve">With reference to her reply to question 34 on 13 March 2020, what are the reasons why the project (a) construction activities did not commence during 2018 and (b) was not commissioned in </w:t>
      </w:r>
      <w:r w:rsidRPr="00543AC8">
        <w:rPr>
          <w:sz w:val="24"/>
          <w:szCs w:val="24"/>
          <w:lang w:eastAsia="en-ZA"/>
        </w:rPr>
        <w:t>December</w:t>
      </w:r>
      <w:r w:rsidRPr="00543AC8">
        <w:rPr>
          <w:sz w:val="24"/>
          <w:szCs w:val="24"/>
        </w:rPr>
        <w:t xml:space="preserve"> 2019 which was (i) the planned date and (ii) stated in writing by the Uthukela District Municipality appointed consultants on 8 September 2016; </w:t>
      </w:r>
    </w:p>
    <w:p w:rsidR="000E6775" w:rsidRPr="003C18D2" w:rsidRDefault="000E6775" w:rsidP="000E6775">
      <w:pPr>
        <w:spacing w:before="100" w:beforeAutospacing="1" w:after="100" w:afterAutospacing="1"/>
        <w:ind w:left="720" w:hanging="720"/>
        <w:jc w:val="both"/>
      </w:pPr>
      <w:r w:rsidRPr="00543AC8">
        <w:rPr>
          <w:sz w:val="24"/>
          <w:szCs w:val="24"/>
        </w:rPr>
        <w:t>(2)</w:t>
      </w:r>
      <w:r w:rsidRPr="00543AC8">
        <w:rPr>
          <w:sz w:val="24"/>
          <w:szCs w:val="24"/>
        </w:rPr>
        <w:tab/>
        <w:t xml:space="preserve">what are the details of persons and/or </w:t>
      </w:r>
      <w:r w:rsidRPr="00543AC8">
        <w:rPr>
          <w:sz w:val="24"/>
          <w:szCs w:val="24"/>
          <w:lang w:eastAsia="en-ZA"/>
        </w:rPr>
        <w:t>consultants</w:t>
      </w:r>
      <w:r w:rsidRPr="00543AC8">
        <w:rPr>
          <w:sz w:val="24"/>
          <w:szCs w:val="24"/>
        </w:rPr>
        <w:t xml:space="preserve"> who are conducting the feasibility study which is currently being undertaken by Umgeni Water including but not </w:t>
      </w:r>
      <w:r>
        <w:rPr>
          <w:sz w:val="24"/>
          <w:szCs w:val="24"/>
        </w:rPr>
        <w:t>limited to</w:t>
      </w:r>
      <w:r w:rsidRPr="00543AC8">
        <w:rPr>
          <w:sz w:val="24"/>
          <w:szCs w:val="24"/>
        </w:rPr>
        <w:t xml:space="preserve"> the (a) names of each person and/or consultant, (b) professions of each person and/or consultant, (c) work to be done by each person and/or consultant and (d) fees and/or charges to be paid to each person and/or consultant?</w:t>
      </w:r>
      <w:r w:rsidRPr="00543AC8">
        <w:rPr>
          <w:sz w:val="24"/>
          <w:szCs w:val="24"/>
        </w:rPr>
        <w:tab/>
      </w:r>
      <w:r w:rsidRPr="00543AC8">
        <w:rPr>
          <w:sz w:val="24"/>
          <w:szCs w:val="24"/>
        </w:rPr>
        <w:tab/>
      </w:r>
      <w:r>
        <w:rPr>
          <w:sz w:val="24"/>
          <w:szCs w:val="24"/>
        </w:rPr>
        <w:tab/>
      </w:r>
      <w:r w:rsidRPr="00543AC8">
        <w:rPr>
          <w:sz w:val="24"/>
          <w:szCs w:val="24"/>
        </w:rPr>
        <w:tab/>
      </w:r>
      <w:r>
        <w:rPr>
          <w:sz w:val="24"/>
          <w:szCs w:val="24"/>
        </w:rPr>
        <w:tab/>
      </w:r>
      <w:r>
        <w:rPr>
          <w:sz w:val="24"/>
          <w:szCs w:val="24"/>
        </w:rPr>
        <w:tab/>
      </w:r>
      <w:r>
        <w:rPr>
          <w:sz w:val="24"/>
          <w:szCs w:val="24"/>
        </w:rPr>
        <w:tab/>
      </w:r>
      <w:r>
        <w:rPr>
          <w:sz w:val="24"/>
          <w:szCs w:val="24"/>
        </w:rPr>
        <w:tab/>
        <w:t xml:space="preserve">                      </w:t>
      </w:r>
      <w:r w:rsidRPr="003C18D2">
        <w:t>NW902E</w:t>
      </w:r>
    </w:p>
    <w:p w:rsidR="00945D3B" w:rsidRDefault="00945D3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444FA7" w:rsidRPr="008150B6" w:rsidRDefault="00444FA7" w:rsidP="00444FA7">
      <w:pPr>
        <w:pStyle w:val="ListParagraph"/>
        <w:spacing w:after="200" w:line="276" w:lineRule="auto"/>
        <w:ind w:hanging="720"/>
        <w:jc w:val="both"/>
        <w:rPr>
          <w:rFonts w:eastAsia="Calibri"/>
          <w:bCs/>
          <w:color w:val="000000"/>
          <w:lang w:val="en-ZA"/>
        </w:rPr>
      </w:pPr>
      <w:r w:rsidRPr="008150B6">
        <w:rPr>
          <w:rFonts w:eastAsia="Calibri"/>
          <w:bCs/>
          <w:color w:val="000000"/>
          <w:lang w:val="en-ZA"/>
        </w:rPr>
        <w:t>(1)</w:t>
      </w:r>
      <w:r w:rsidRPr="008150B6">
        <w:rPr>
          <w:rFonts w:eastAsia="Calibri"/>
          <w:bCs/>
          <w:color w:val="000000"/>
          <w:lang w:val="en-ZA"/>
        </w:rPr>
        <w:tab/>
      </w:r>
      <w:r>
        <w:rPr>
          <w:rFonts w:eastAsia="Calibri"/>
          <w:bCs/>
          <w:color w:val="000000"/>
          <w:lang w:val="en-ZA"/>
        </w:rPr>
        <w:t>Honourable Member, I am informed that i</w:t>
      </w:r>
      <w:r w:rsidRPr="008150B6">
        <w:rPr>
          <w:rFonts w:eastAsia="Calibri"/>
          <w:bCs/>
          <w:color w:val="000000"/>
          <w:lang w:val="en-ZA"/>
        </w:rPr>
        <w:t xml:space="preserve">nitially, uThukela District Municipality intended to implement the project itself. Upon realising that it could not afford to cover costs related to economic component of the project, as the Regional Bulk Infrastructure Grant (RBIG) does not fund such costs, the municipality decided to approach the Umgeni Water Board for assistance. The Uthukela District Municipality </w:t>
      </w:r>
      <w:r>
        <w:rPr>
          <w:rFonts w:eastAsia="Calibri"/>
          <w:bCs/>
          <w:color w:val="000000"/>
          <w:lang w:val="en-ZA"/>
        </w:rPr>
        <w:t xml:space="preserve">proposed that </w:t>
      </w:r>
      <w:r w:rsidRPr="008150B6">
        <w:rPr>
          <w:rFonts w:eastAsia="Calibri"/>
          <w:bCs/>
          <w:color w:val="000000"/>
          <w:lang w:val="en-ZA"/>
        </w:rPr>
        <w:t xml:space="preserve">Umgeni Water </w:t>
      </w:r>
      <w:r>
        <w:rPr>
          <w:rFonts w:eastAsia="Calibri"/>
          <w:bCs/>
          <w:color w:val="000000"/>
          <w:lang w:val="en-ZA"/>
        </w:rPr>
        <w:t>should</w:t>
      </w:r>
      <w:r w:rsidRPr="008150B6">
        <w:rPr>
          <w:rFonts w:eastAsia="Calibri"/>
          <w:bCs/>
          <w:color w:val="000000"/>
          <w:lang w:val="en-ZA"/>
        </w:rPr>
        <w:t xml:space="preserve"> become the bulk water provider for the municipality. Both parties agreed that Umgeni Water would implement the </w:t>
      </w:r>
      <w:r w:rsidRPr="008150B6">
        <w:rPr>
          <w:rFonts w:eastAsia="Calibri"/>
          <w:bCs/>
          <w:lang w:val="en-ZA"/>
        </w:rPr>
        <w:t>Spioenkop-Ladysmith Bulk Water Supply Scheme</w:t>
      </w:r>
      <w:r w:rsidRPr="008150B6">
        <w:rPr>
          <w:rFonts w:eastAsia="Calibri"/>
          <w:bCs/>
          <w:color w:val="000000"/>
          <w:lang w:val="en-ZA"/>
        </w:rPr>
        <w:t>. When Umgeni Water took over the scheme, a fatal flaw analysis was conducted and it was discovered that one of the key considerations relating to the water resource availability for the new infrastructure had not been effectively investigated by the municipality.</w:t>
      </w:r>
    </w:p>
    <w:p w:rsidR="00444FA7" w:rsidRPr="008150B6" w:rsidRDefault="00444FA7" w:rsidP="00444FA7">
      <w:pPr>
        <w:spacing w:after="200" w:line="276" w:lineRule="auto"/>
        <w:ind w:left="720"/>
        <w:jc w:val="both"/>
        <w:rPr>
          <w:rFonts w:eastAsia="Calibri"/>
          <w:bCs/>
          <w:color w:val="000000"/>
          <w:sz w:val="24"/>
          <w:szCs w:val="24"/>
          <w:lang w:val="en-ZA"/>
        </w:rPr>
      </w:pPr>
      <w:r w:rsidRPr="008150B6">
        <w:rPr>
          <w:rFonts w:eastAsia="Calibri"/>
          <w:bCs/>
          <w:color w:val="000000"/>
          <w:sz w:val="24"/>
          <w:szCs w:val="24"/>
          <w:lang w:val="en-ZA"/>
        </w:rPr>
        <w:lastRenderedPageBreak/>
        <w:t>A hydrological study revealed that the scheme in the proposed form would not be possible as the water resource identified initially would not have been able to supply the proposed bulk water scheme. This meant that another feasibility study needed to be carried out and another alternative option to supply the area would have to be identified.</w:t>
      </w:r>
    </w:p>
    <w:p w:rsidR="00444FA7" w:rsidRPr="008150B6" w:rsidRDefault="00444FA7" w:rsidP="00444FA7">
      <w:pPr>
        <w:spacing w:line="276" w:lineRule="auto"/>
        <w:ind w:left="720" w:hanging="720"/>
        <w:contextualSpacing/>
        <w:jc w:val="both"/>
        <w:rPr>
          <w:rFonts w:eastAsia="Calibri"/>
          <w:sz w:val="24"/>
          <w:szCs w:val="24"/>
        </w:rPr>
      </w:pPr>
      <w:r w:rsidRPr="008150B6">
        <w:rPr>
          <w:rFonts w:eastAsia="Calibri"/>
          <w:sz w:val="24"/>
          <w:szCs w:val="24"/>
        </w:rPr>
        <w:t>(2)</w:t>
      </w:r>
      <w:r w:rsidRPr="008150B6">
        <w:rPr>
          <w:rFonts w:eastAsia="Calibri"/>
          <w:sz w:val="24"/>
          <w:szCs w:val="24"/>
        </w:rPr>
        <w:tab/>
        <w:t xml:space="preserve">Following the discontinuation of the initial proposal for the scheme, an entirely different concept needed to be adopted to ensure </w:t>
      </w:r>
      <w:r>
        <w:rPr>
          <w:rFonts w:eastAsia="Calibri"/>
          <w:sz w:val="24"/>
          <w:szCs w:val="24"/>
        </w:rPr>
        <w:t xml:space="preserve">sustainable water </w:t>
      </w:r>
      <w:r w:rsidRPr="008150B6">
        <w:rPr>
          <w:rFonts w:eastAsia="Calibri"/>
          <w:sz w:val="24"/>
          <w:szCs w:val="24"/>
        </w:rPr>
        <w:t>supply to the areas concerned. A new feasibility study which would include a comprehensive options analysis to determine a reliable resource and the configuration of a scheme was needed. The scheme can then be connected to this resource and supply the needs of the regional area. The Umgeni Water Board is in the process</w:t>
      </w:r>
      <w:r>
        <w:rPr>
          <w:rFonts w:eastAsia="Calibri"/>
          <w:sz w:val="24"/>
          <w:szCs w:val="24"/>
        </w:rPr>
        <w:t xml:space="preserve"> of</w:t>
      </w:r>
      <w:r w:rsidRPr="008150B6">
        <w:rPr>
          <w:rFonts w:eastAsia="Calibri"/>
          <w:sz w:val="24"/>
          <w:szCs w:val="24"/>
        </w:rPr>
        <w:t xml:space="preserve"> procur</w:t>
      </w:r>
      <w:r>
        <w:rPr>
          <w:rFonts w:eastAsia="Calibri"/>
          <w:sz w:val="24"/>
          <w:szCs w:val="24"/>
        </w:rPr>
        <w:t>ing</w:t>
      </w:r>
      <w:r w:rsidRPr="008150B6">
        <w:rPr>
          <w:rFonts w:eastAsia="Calibri"/>
          <w:sz w:val="24"/>
          <w:szCs w:val="24"/>
        </w:rPr>
        <w:t xml:space="preserve"> a consultant to undertake the feasibility study and options analysis for the scheme. It is anticipated that the feasibility study will be completed by the end of 2021 and thereafter the project would move into a detailed design phase and construction.</w:t>
      </w:r>
    </w:p>
    <w:p w:rsidR="00444FA7" w:rsidRPr="008150B6" w:rsidRDefault="00444FA7" w:rsidP="00444FA7">
      <w:pPr>
        <w:spacing w:line="336" w:lineRule="auto"/>
        <w:ind w:left="720" w:hanging="720"/>
        <w:jc w:val="both"/>
        <w:rPr>
          <w:sz w:val="24"/>
          <w:szCs w:val="24"/>
        </w:rPr>
      </w:pPr>
    </w:p>
    <w:p w:rsidR="00444FA7" w:rsidRDefault="00444FA7" w:rsidP="00444FA7">
      <w:pPr>
        <w:spacing w:line="336" w:lineRule="auto"/>
        <w:ind w:left="720" w:hanging="720"/>
        <w:jc w:val="both"/>
        <w:rPr>
          <w:b/>
          <w:sz w:val="24"/>
          <w:szCs w:val="24"/>
        </w:rPr>
      </w:pPr>
    </w:p>
    <w:p w:rsidR="00444FA7" w:rsidRPr="00444FA7" w:rsidRDefault="00444FA7" w:rsidP="002E18F1">
      <w:pPr>
        <w:spacing w:line="336" w:lineRule="auto"/>
        <w:ind w:left="720" w:hanging="720"/>
        <w:jc w:val="both"/>
        <w:rPr>
          <w:b/>
          <w:sz w:val="24"/>
          <w:szCs w:val="24"/>
        </w:rPr>
      </w:pPr>
    </w:p>
    <w:sectPr w:rsidR="00444FA7" w:rsidRPr="00444FA7"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7E4" w:rsidRDefault="00E857E4" w:rsidP="00054FEC">
      <w:r>
        <w:separator/>
      </w:r>
    </w:p>
  </w:endnote>
  <w:endnote w:type="continuationSeparator" w:id="0">
    <w:p w:rsidR="00E857E4" w:rsidRDefault="00E857E4"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7E4" w:rsidRDefault="00E857E4" w:rsidP="00054FEC">
      <w:r>
        <w:separator/>
      </w:r>
    </w:p>
  </w:footnote>
  <w:footnote w:type="continuationSeparator" w:id="0">
    <w:p w:rsidR="00E857E4" w:rsidRDefault="00E857E4"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0E6775">
      <w:t>700</w:t>
    </w:r>
    <w:r w:rsidR="00C57C73">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543E23D2"/>
    <w:multiLevelType w:val="hybridMultilevel"/>
    <w:tmpl w:val="7350443A"/>
    <w:lvl w:ilvl="0" w:tplc="220225E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636A1664"/>
    <w:multiLevelType w:val="hybridMultilevel"/>
    <w:tmpl w:val="FBFA6810"/>
    <w:lvl w:ilvl="0" w:tplc="AD0AE9FA">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5"/>
  </w:num>
  <w:num w:numId="2">
    <w:abstractNumId w:val="2"/>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C46"/>
    <w:rsid w:val="000151AE"/>
    <w:rsid w:val="000163B0"/>
    <w:rsid w:val="00026A5F"/>
    <w:rsid w:val="0003130D"/>
    <w:rsid w:val="00042C5B"/>
    <w:rsid w:val="00051709"/>
    <w:rsid w:val="00052ADA"/>
    <w:rsid w:val="000540D5"/>
    <w:rsid w:val="000542DB"/>
    <w:rsid w:val="00054FEC"/>
    <w:rsid w:val="0005651C"/>
    <w:rsid w:val="00060D86"/>
    <w:rsid w:val="00061B5C"/>
    <w:rsid w:val="00062096"/>
    <w:rsid w:val="000632A3"/>
    <w:rsid w:val="00063A5F"/>
    <w:rsid w:val="00084A46"/>
    <w:rsid w:val="00085A2A"/>
    <w:rsid w:val="000874C5"/>
    <w:rsid w:val="000B2098"/>
    <w:rsid w:val="000B4AC5"/>
    <w:rsid w:val="000C087A"/>
    <w:rsid w:val="000C2DF5"/>
    <w:rsid w:val="000C37CD"/>
    <w:rsid w:val="000C7AFC"/>
    <w:rsid w:val="000D5E18"/>
    <w:rsid w:val="000E0847"/>
    <w:rsid w:val="000E238C"/>
    <w:rsid w:val="000E244D"/>
    <w:rsid w:val="000E3FFE"/>
    <w:rsid w:val="000E6775"/>
    <w:rsid w:val="000F4B3A"/>
    <w:rsid w:val="000F7154"/>
    <w:rsid w:val="001005E9"/>
    <w:rsid w:val="00100A49"/>
    <w:rsid w:val="00101BAB"/>
    <w:rsid w:val="00105052"/>
    <w:rsid w:val="00113198"/>
    <w:rsid w:val="0012211E"/>
    <w:rsid w:val="0012375B"/>
    <w:rsid w:val="00131BFD"/>
    <w:rsid w:val="00131F7A"/>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05E83"/>
    <w:rsid w:val="00211743"/>
    <w:rsid w:val="002174E7"/>
    <w:rsid w:val="002203F2"/>
    <w:rsid w:val="00221ABD"/>
    <w:rsid w:val="00221CAF"/>
    <w:rsid w:val="00221F1C"/>
    <w:rsid w:val="002265B4"/>
    <w:rsid w:val="0023124F"/>
    <w:rsid w:val="002316D0"/>
    <w:rsid w:val="002418D7"/>
    <w:rsid w:val="00244322"/>
    <w:rsid w:val="00245CEE"/>
    <w:rsid w:val="002565C1"/>
    <w:rsid w:val="00257C83"/>
    <w:rsid w:val="002620BC"/>
    <w:rsid w:val="0027155D"/>
    <w:rsid w:val="00273F15"/>
    <w:rsid w:val="00285762"/>
    <w:rsid w:val="002901FA"/>
    <w:rsid w:val="002922CE"/>
    <w:rsid w:val="002962EB"/>
    <w:rsid w:val="0029651C"/>
    <w:rsid w:val="00297F06"/>
    <w:rsid w:val="002A580A"/>
    <w:rsid w:val="002A5932"/>
    <w:rsid w:val="002B6CA3"/>
    <w:rsid w:val="002B7025"/>
    <w:rsid w:val="002B7A01"/>
    <w:rsid w:val="002C4AAE"/>
    <w:rsid w:val="002D3BB8"/>
    <w:rsid w:val="002E18F1"/>
    <w:rsid w:val="002E39B0"/>
    <w:rsid w:val="002F729C"/>
    <w:rsid w:val="002F7976"/>
    <w:rsid w:val="003225B0"/>
    <w:rsid w:val="00323C61"/>
    <w:rsid w:val="00325C09"/>
    <w:rsid w:val="00326ADE"/>
    <w:rsid w:val="00332EDA"/>
    <w:rsid w:val="00333798"/>
    <w:rsid w:val="00340EF8"/>
    <w:rsid w:val="003500A3"/>
    <w:rsid w:val="00351776"/>
    <w:rsid w:val="00360151"/>
    <w:rsid w:val="003639EF"/>
    <w:rsid w:val="003658A1"/>
    <w:rsid w:val="00371AFD"/>
    <w:rsid w:val="00386EBC"/>
    <w:rsid w:val="00391A16"/>
    <w:rsid w:val="00391B22"/>
    <w:rsid w:val="00392A4A"/>
    <w:rsid w:val="003942F2"/>
    <w:rsid w:val="00397799"/>
    <w:rsid w:val="003A0C97"/>
    <w:rsid w:val="003A48E1"/>
    <w:rsid w:val="003B7EF6"/>
    <w:rsid w:val="003D1E57"/>
    <w:rsid w:val="003F3285"/>
    <w:rsid w:val="003F3D4B"/>
    <w:rsid w:val="003F40BD"/>
    <w:rsid w:val="003F4CED"/>
    <w:rsid w:val="003F5497"/>
    <w:rsid w:val="003F7899"/>
    <w:rsid w:val="003F79B5"/>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4FA7"/>
    <w:rsid w:val="0044715C"/>
    <w:rsid w:val="00453E58"/>
    <w:rsid w:val="0045581B"/>
    <w:rsid w:val="00457E66"/>
    <w:rsid w:val="00461532"/>
    <w:rsid w:val="00461B50"/>
    <w:rsid w:val="004622F2"/>
    <w:rsid w:val="004623E1"/>
    <w:rsid w:val="00466A67"/>
    <w:rsid w:val="00472722"/>
    <w:rsid w:val="00473687"/>
    <w:rsid w:val="00481F38"/>
    <w:rsid w:val="00486C61"/>
    <w:rsid w:val="00497A7D"/>
    <w:rsid w:val="004A13DD"/>
    <w:rsid w:val="004A27DE"/>
    <w:rsid w:val="004A55A2"/>
    <w:rsid w:val="004A7396"/>
    <w:rsid w:val="004B54E9"/>
    <w:rsid w:val="004C34F2"/>
    <w:rsid w:val="004C62A2"/>
    <w:rsid w:val="004C7102"/>
    <w:rsid w:val="004E1009"/>
    <w:rsid w:val="004E32DC"/>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1E8E"/>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0434"/>
    <w:rsid w:val="005E69AF"/>
    <w:rsid w:val="005F4728"/>
    <w:rsid w:val="00600850"/>
    <w:rsid w:val="00600BD5"/>
    <w:rsid w:val="006043CA"/>
    <w:rsid w:val="0061173D"/>
    <w:rsid w:val="00614C11"/>
    <w:rsid w:val="00621979"/>
    <w:rsid w:val="00622769"/>
    <w:rsid w:val="006315F4"/>
    <w:rsid w:val="00634815"/>
    <w:rsid w:val="00636989"/>
    <w:rsid w:val="00636C07"/>
    <w:rsid w:val="00643247"/>
    <w:rsid w:val="0064604A"/>
    <w:rsid w:val="00650769"/>
    <w:rsid w:val="0065307F"/>
    <w:rsid w:val="006559CC"/>
    <w:rsid w:val="00657215"/>
    <w:rsid w:val="00657FAD"/>
    <w:rsid w:val="0066568F"/>
    <w:rsid w:val="00666AF5"/>
    <w:rsid w:val="0067140F"/>
    <w:rsid w:val="00680AEA"/>
    <w:rsid w:val="006829A9"/>
    <w:rsid w:val="00685369"/>
    <w:rsid w:val="006862AD"/>
    <w:rsid w:val="006932BB"/>
    <w:rsid w:val="00696206"/>
    <w:rsid w:val="00697C4D"/>
    <w:rsid w:val="00697CF3"/>
    <w:rsid w:val="006A3A9B"/>
    <w:rsid w:val="006A50C0"/>
    <w:rsid w:val="006A757A"/>
    <w:rsid w:val="006B057C"/>
    <w:rsid w:val="006B1158"/>
    <w:rsid w:val="006C3358"/>
    <w:rsid w:val="006C4112"/>
    <w:rsid w:val="006C7F54"/>
    <w:rsid w:val="006D2C99"/>
    <w:rsid w:val="006D4535"/>
    <w:rsid w:val="006D564E"/>
    <w:rsid w:val="006D638D"/>
    <w:rsid w:val="006E1517"/>
    <w:rsid w:val="006F02E1"/>
    <w:rsid w:val="006F111A"/>
    <w:rsid w:val="006F35CD"/>
    <w:rsid w:val="006F4B1B"/>
    <w:rsid w:val="006F64F8"/>
    <w:rsid w:val="006F78BD"/>
    <w:rsid w:val="00704183"/>
    <w:rsid w:val="00715D95"/>
    <w:rsid w:val="00721FF1"/>
    <w:rsid w:val="00722FEC"/>
    <w:rsid w:val="00723349"/>
    <w:rsid w:val="007241DD"/>
    <w:rsid w:val="00731E1C"/>
    <w:rsid w:val="007325DE"/>
    <w:rsid w:val="00740E7D"/>
    <w:rsid w:val="00741807"/>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B4"/>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150B6"/>
    <w:rsid w:val="00821539"/>
    <w:rsid w:val="00821ABA"/>
    <w:rsid w:val="00826D26"/>
    <w:rsid w:val="008279FC"/>
    <w:rsid w:val="00832AD2"/>
    <w:rsid w:val="00833871"/>
    <w:rsid w:val="0084025B"/>
    <w:rsid w:val="00845006"/>
    <w:rsid w:val="00845585"/>
    <w:rsid w:val="008505C8"/>
    <w:rsid w:val="00852F18"/>
    <w:rsid w:val="008575F4"/>
    <w:rsid w:val="00857E10"/>
    <w:rsid w:val="00860F4B"/>
    <w:rsid w:val="00862646"/>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C4AA2"/>
    <w:rsid w:val="008D4969"/>
    <w:rsid w:val="008D5C43"/>
    <w:rsid w:val="008D5F8E"/>
    <w:rsid w:val="008E39AE"/>
    <w:rsid w:val="008E4350"/>
    <w:rsid w:val="008E4498"/>
    <w:rsid w:val="008E593B"/>
    <w:rsid w:val="008F085C"/>
    <w:rsid w:val="008F3F23"/>
    <w:rsid w:val="008F3FE5"/>
    <w:rsid w:val="008F4456"/>
    <w:rsid w:val="00904841"/>
    <w:rsid w:val="00907BDD"/>
    <w:rsid w:val="00907DD0"/>
    <w:rsid w:val="0091152A"/>
    <w:rsid w:val="00916792"/>
    <w:rsid w:val="00917CDC"/>
    <w:rsid w:val="00924EAF"/>
    <w:rsid w:val="00927BDA"/>
    <w:rsid w:val="009306E0"/>
    <w:rsid w:val="00931E14"/>
    <w:rsid w:val="00933DC0"/>
    <w:rsid w:val="00933DCE"/>
    <w:rsid w:val="009358D8"/>
    <w:rsid w:val="009407DD"/>
    <w:rsid w:val="009437CC"/>
    <w:rsid w:val="00945D3B"/>
    <w:rsid w:val="00954574"/>
    <w:rsid w:val="00956F9C"/>
    <w:rsid w:val="009604A6"/>
    <w:rsid w:val="00967EE8"/>
    <w:rsid w:val="0097050B"/>
    <w:rsid w:val="00971CE4"/>
    <w:rsid w:val="00971E79"/>
    <w:rsid w:val="00972777"/>
    <w:rsid w:val="00974D24"/>
    <w:rsid w:val="00984A0C"/>
    <w:rsid w:val="00984BF1"/>
    <w:rsid w:val="00991B77"/>
    <w:rsid w:val="00991C6C"/>
    <w:rsid w:val="009924B5"/>
    <w:rsid w:val="009956D6"/>
    <w:rsid w:val="009A5247"/>
    <w:rsid w:val="009A5550"/>
    <w:rsid w:val="009B538E"/>
    <w:rsid w:val="009B6B68"/>
    <w:rsid w:val="009C04C3"/>
    <w:rsid w:val="009C6091"/>
    <w:rsid w:val="009D5DC1"/>
    <w:rsid w:val="009D65D3"/>
    <w:rsid w:val="009D78E5"/>
    <w:rsid w:val="009E4722"/>
    <w:rsid w:val="009F104A"/>
    <w:rsid w:val="009F18D7"/>
    <w:rsid w:val="009F37D0"/>
    <w:rsid w:val="009F41D7"/>
    <w:rsid w:val="009F5B5D"/>
    <w:rsid w:val="00A07114"/>
    <w:rsid w:val="00A10986"/>
    <w:rsid w:val="00A11359"/>
    <w:rsid w:val="00A36D94"/>
    <w:rsid w:val="00A37656"/>
    <w:rsid w:val="00A41487"/>
    <w:rsid w:val="00A45652"/>
    <w:rsid w:val="00A458C0"/>
    <w:rsid w:val="00A46948"/>
    <w:rsid w:val="00A52004"/>
    <w:rsid w:val="00A5613F"/>
    <w:rsid w:val="00A564D9"/>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6F64"/>
    <w:rsid w:val="00B177C5"/>
    <w:rsid w:val="00B17FB7"/>
    <w:rsid w:val="00B232FA"/>
    <w:rsid w:val="00B24178"/>
    <w:rsid w:val="00B24802"/>
    <w:rsid w:val="00B253A0"/>
    <w:rsid w:val="00B301A9"/>
    <w:rsid w:val="00B3353C"/>
    <w:rsid w:val="00B346B6"/>
    <w:rsid w:val="00B35035"/>
    <w:rsid w:val="00B35967"/>
    <w:rsid w:val="00B3785A"/>
    <w:rsid w:val="00B41BED"/>
    <w:rsid w:val="00B43005"/>
    <w:rsid w:val="00B473D5"/>
    <w:rsid w:val="00B50BF1"/>
    <w:rsid w:val="00B52604"/>
    <w:rsid w:val="00B55E3F"/>
    <w:rsid w:val="00B57E32"/>
    <w:rsid w:val="00B605C1"/>
    <w:rsid w:val="00B62DD3"/>
    <w:rsid w:val="00B653F5"/>
    <w:rsid w:val="00B70FF0"/>
    <w:rsid w:val="00B72DD5"/>
    <w:rsid w:val="00B86677"/>
    <w:rsid w:val="00B901AC"/>
    <w:rsid w:val="00B9254E"/>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09F5"/>
    <w:rsid w:val="00C527FC"/>
    <w:rsid w:val="00C52AA3"/>
    <w:rsid w:val="00C576FE"/>
    <w:rsid w:val="00C57AC2"/>
    <w:rsid w:val="00C57C73"/>
    <w:rsid w:val="00C708B7"/>
    <w:rsid w:val="00C72BD9"/>
    <w:rsid w:val="00C74E11"/>
    <w:rsid w:val="00C81914"/>
    <w:rsid w:val="00C83019"/>
    <w:rsid w:val="00C86B1F"/>
    <w:rsid w:val="00C927F2"/>
    <w:rsid w:val="00C960DE"/>
    <w:rsid w:val="00CA1F73"/>
    <w:rsid w:val="00CA6FA2"/>
    <w:rsid w:val="00CB24C2"/>
    <w:rsid w:val="00CD1660"/>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062E"/>
    <w:rsid w:val="00DE6494"/>
    <w:rsid w:val="00DF24A7"/>
    <w:rsid w:val="00DF5820"/>
    <w:rsid w:val="00DF79D0"/>
    <w:rsid w:val="00E01F6C"/>
    <w:rsid w:val="00E03388"/>
    <w:rsid w:val="00E05515"/>
    <w:rsid w:val="00E05BE2"/>
    <w:rsid w:val="00E06306"/>
    <w:rsid w:val="00E07CEA"/>
    <w:rsid w:val="00E13A36"/>
    <w:rsid w:val="00E154EB"/>
    <w:rsid w:val="00E161DB"/>
    <w:rsid w:val="00E17DD6"/>
    <w:rsid w:val="00E2469A"/>
    <w:rsid w:val="00E30C0B"/>
    <w:rsid w:val="00E32382"/>
    <w:rsid w:val="00E40762"/>
    <w:rsid w:val="00E547E7"/>
    <w:rsid w:val="00E604FF"/>
    <w:rsid w:val="00E65C78"/>
    <w:rsid w:val="00E65E8A"/>
    <w:rsid w:val="00E67E28"/>
    <w:rsid w:val="00E70990"/>
    <w:rsid w:val="00E76256"/>
    <w:rsid w:val="00E843C3"/>
    <w:rsid w:val="00E84932"/>
    <w:rsid w:val="00E857E4"/>
    <w:rsid w:val="00E916B8"/>
    <w:rsid w:val="00E92727"/>
    <w:rsid w:val="00E93130"/>
    <w:rsid w:val="00E971FE"/>
    <w:rsid w:val="00EA6D3D"/>
    <w:rsid w:val="00EB6AA1"/>
    <w:rsid w:val="00EC171E"/>
    <w:rsid w:val="00EC1A90"/>
    <w:rsid w:val="00EC5D81"/>
    <w:rsid w:val="00EC6948"/>
    <w:rsid w:val="00EC6A09"/>
    <w:rsid w:val="00ED344E"/>
    <w:rsid w:val="00EE01A4"/>
    <w:rsid w:val="00EE300B"/>
    <w:rsid w:val="00EE37B5"/>
    <w:rsid w:val="00EE5A15"/>
    <w:rsid w:val="00EF2319"/>
    <w:rsid w:val="00EF66D4"/>
    <w:rsid w:val="00EF7055"/>
    <w:rsid w:val="00F000D2"/>
    <w:rsid w:val="00F16BF4"/>
    <w:rsid w:val="00F17697"/>
    <w:rsid w:val="00F3479A"/>
    <w:rsid w:val="00F35583"/>
    <w:rsid w:val="00F363E4"/>
    <w:rsid w:val="00F3695E"/>
    <w:rsid w:val="00F36C08"/>
    <w:rsid w:val="00F374AD"/>
    <w:rsid w:val="00F41641"/>
    <w:rsid w:val="00F41BC1"/>
    <w:rsid w:val="00F434FC"/>
    <w:rsid w:val="00F4658B"/>
    <w:rsid w:val="00F51113"/>
    <w:rsid w:val="00F54821"/>
    <w:rsid w:val="00F60C74"/>
    <w:rsid w:val="00F61C46"/>
    <w:rsid w:val="00F61D4C"/>
    <w:rsid w:val="00F716B7"/>
    <w:rsid w:val="00F720D5"/>
    <w:rsid w:val="00F75EB0"/>
    <w:rsid w:val="00F801D2"/>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443"/>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5FEE77-E6D8-4662-AF69-E25FA59A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265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2019-07-09T14:47:00Z</cp:lastPrinted>
  <dcterms:created xsi:type="dcterms:W3CDTF">2020-06-02T15:51:00Z</dcterms:created>
  <dcterms:modified xsi:type="dcterms:W3CDTF">2020-06-02T15:51:00Z</dcterms:modified>
</cp:coreProperties>
</file>