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E828" w14:textId="77777777" w:rsidR="000A6CC8" w:rsidRDefault="000A6CC8" w:rsidP="000A6CC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46FF180E" w14:textId="77777777" w:rsidR="000A6CC8" w:rsidRDefault="000A6CC8" w:rsidP="000A6CC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07</w:t>
      </w:r>
    </w:p>
    <w:p w14:paraId="434A9C8A" w14:textId="77777777" w:rsidR="000A6CC8" w:rsidRPr="00C0401D" w:rsidRDefault="000A6CC8" w:rsidP="000A6CC8">
      <w:pPr>
        <w:spacing w:before="100" w:beforeAutospacing="1" w:after="100" w:afterAutospacing="1" w:line="360" w:lineRule="auto"/>
        <w:jc w:val="both"/>
        <w:outlineLvl w:val="0"/>
        <w:rPr>
          <w:rFonts w:ascii="Arial" w:eastAsia="Calibri" w:hAnsi="Arial" w:cs="Arial"/>
        </w:rPr>
      </w:pPr>
      <w:r w:rsidRPr="00C0401D">
        <w:rPr>
          <w:rFonts w:ascii="Arial" w:hAnsi="Arial" w:cs="Arial"/>
          <w:b/>
          <w:noProof/>
          <w:lang w:val="af-ZA"/>
        </w:rPr>
        <w:t>Adv A de W Alberts (FF Plus) to ask the Minister of Transport:</w:t>
      </w:r>
    </w:p>
    <w:p w14:paraId="2064309A" w14:textId="77777777" w:rsidR="000A6CC8" w:rsidRDefault="000A6CC8" w:rsidP="000A6CC8">
      <w:pPr>
        <w:pStyle w:val="ListParagraph"/>
        <w:numPr>
          <w:ilvl w:val="0"/>
          <w:numId w:val="6"/>
        </w:numPr>
        <w:spacing w:before="100" w:beforeAutospacing="1" w:after="100" w:afterAutospacing="1" w:line="360" w:lineRule="auto"/>
        <w:jc w:val="both"/>
        <w:rPr>
          <w:rFonts w:ascii="Arial" w:hAnsi="Arial" w:cs="Arial"/>
          <w:noProof/>
          <w:lang w:val="af-ZA"/>
        </w:rPr>
      </w:pPr>
      <w:r w:rsidRPr="0084384C">
        <w:rPr>
          <w:rFonts w:ascii="Arial" w:hAnsi="Arial" w:cs="Arial"/>
          <w:noProof/>
          <w:lang w:val="af-ZA"/>
        </w:rPr>
        <w:t xml:space="preserve">What are the particular reasons why the Airports Company of South Africa (Acsa) has </w:t>
      </w:r>
      <w:r w:rsidRPr="0084384C">
        <w:rPr>
          <w:rFonts w:ascii="Arial" w:eastAsia="Times New Roman" w:hAnsi="Arial" w:cs="Arial"/>
          <w:lang w:val="af-ZA"/>
        </w:rPr>
        <w:t>made</w:t>
      </w:r>
      <w:r w:rsidRPr="0084384C">
        <w:rPr>
          <w:rFonts w:ascii="Arial" w:hAnsi="Arial" w:cs="Arial"/>
          <w:noProof/>
          <w:lang w:val="af-ZA"/>
        </w:rPr>
        <w:t xml:space="preserve"> a donation to a certain organisation (name furnished);</w:t>
      </w:r>
    </w:p>
    <w:p w14:paraId="3EA94EF3" w14:textId="77777777" w:rsidR="000A6CC8" w:rsidRDefault="000A6CC8" w:rsidP="000A6CC8">
      <w:pPr>
        <w:pStyle w:val="ListParagraph"/>
        <w:spacing w:before="100" w:beforeAutospacing="1" w:after="100" w:afterAutospacing="1" w:line="360" w:lineRule="auto"/>
        <w:ind w:left="1440"/>
        <w:jc w:val="both"/>
        <w:rPr>
          <w:rFonts w:ascii="Arial" w:hAnsi="Arial" w:cs="Arial"/>
          <w:noProof/>
          <w:lang w:val="af-ZA"/>
        </w:rPr>
      </w:pPr>
    </w:p>
    <w:p w14:paraId="0046934D" w14:textId="77777777" w:rsidR="000A6CC8" w:rsidRPr="009C1554" w:rsidRDefault="000A6CC8" w:rsidP="000A6CC8">
      <w:pPr>
        <w:pStyle w:val="ListParagraph"/>
        <w:numPr>
          <w:ilvl w:val="0"/>
          <w:numId w:val="6"/>
        </w:numPr>
        <w:spacing w:after="0" w:line="360" w:lineRule="auto"/>
        <w:jc w:val="both"/>
        <w:rPr>
          <w:rFonts w:ascii="Arial" w:hAnsi="Arial" w:cs="Arial"/>
          <w:noProof/>
          <w:lang w:val="af-ZA"/>
        </w:rPr>
      </w:pPr>
      <w:r w:rsidRPr="00E36993">
        <w:rPr>
          <w:rFonts w:ascii="Arial" w:hAnsi="Arial" w:cs="Arial"/>
          <w:noProof/>
          <w:lang w:val="af-ZA"/>
        </w:rPr>
        <w:t>what are the full details of the statutory and general legal basis on which he relied to justify the specified donation;</w:t>
      </w:r>
    </w:p>
    <w:p w14:paraId="2E8DAE57" w14:textId="77777777" w:rsidR="000A6CC8" w:rsidRPr="009C1554" w:rsidRDefault="000A6CC8" w:rsidP="000A6CC8">
      <w:pPr>
        <w:pStyle w:val="ListParagraph"/>
        <w:spacing w:after="0" w:line="360" w:lineRule="auto"/>
        <w:ind w:left="1440"/>
        <w:jc w:val="both"/>
        <w:rPr>
          <w:rFonts w:ascii="Arial" w:hAnsi="Arial" w:cs="Arial"/>
          <w:noProof/>
          <w:lang w:val="af-ZA"/>
        </w:rPr>
      </w:pPr>
    </w:p>
    <w:p w14:paraId="0C661062" w14:textId="77777777" w:rsidR="000A6CC8" w:rsidRPr="00962FDA" w:rsidRDefault="000A6CC8" w:rsidP="000A6CC8">
      <w:pPr>
        <w:pStyle w:val="ListParagraph"/>
        <w:numPr>
          <w:ilvl w:val="0"/>
          <w:numId w:val="6"/>
        </w:numPr>
        <w:spacing w:after="0" w:line="360" w:lineRule="auto"/>
        <w:jc w:val="both"/>
        <w:rPr>
          <w:rFonts w:ascii="Arial" w:hAnsi="Arial" w:cs="Arial"/>
          <w:noProof/>
          <w:lang w:val="af-ZA"/>
        </w:rPr>
      </w:pPr>
      <w:r w:rsidRPr="00E36993">
        <w:rPr>
          <w:rFonts w:ascii="Arial" w:hAnsi="Arial" w:cs="Arial"/>
          <w:noProof/>
          <w:lang w:val="af-ZA"/>
        </w:rPr>
        <w:t xml:space="preserve">whether Acsa has previously made any donations to the specified organisation; if so; what are the full relevant details; </w:t>
      </w:r>
    </w:p>
    <w:p w14:paraId="68C089B9" w14:textId="77777777" w:rsidR="000A6CC8" w:rsidRDefault="000A6CC8" w:rsidP="000A6CC8">
      <w:pPr>
        <w:spacing w:before="100" w:beforeAutospacing="1" w:after="100" w:afterAutospacing="1" w:line="360" w:lineRule="auto"/>
        <w:ind w:left="1440" w:hanging="731"/>
        <w:jc w:val="both"/>
        <w:rPr>
          <w:rFonts w:ascii="Arial" w:hAnsi="Arial" w:cs="Arial"/>
          <w:noProof/>
          <w:lang w:val="af-ZA"/>
        </w:rPr>
      </w:pPr>
      <w:r w:rsidRPr="00C0401D">
        <w:rPr>
          <w:rFonts w:ascii="Arial" w:hAnsi="Arial" w:cs="Arial"/>
          <w:noProof/>
          <w:lang w:val="af-ZA"/>
        </w:rPr>
        <w:t xml:space="preserve">(4) </w:t>
      </w:r>
      <w:r w:rsidRPr="00C0401D">
        <w:rPr>
          <w:rFonts w:ascii="Arial" w:hAnsi="Arial" w:cs="Arial"/>
          <w:noProof/>
          <w:lang w:val="af-ZA"/>
        </w:rPr>
        <w:tab/>
        <w:t>whether (a) the nature of the relationship between Acsa and the organisation is formal or informal and (b) any (i) directors and/or (ii) employees of Acsa have any ties with the organisation?</w:t>
      </w:r>
      <w:r w:rsidRPr="00C0401D">
        <w:rPr>
          <w:rFonts w:ascii="Arial" w:hAnsi="Arial" w:cs="Arial"/>
          <w:noProof/>
          <w:lang w:val="af-ZA"/>
        </w:rPr>
        <w:tab/>
      </w:r>
      <w:r w:rsidRPr="00C0401D">
        <w:rPr>
          <w:rFonts w:ascii="Arial" w:hAnsi="Arial" w:cs="Arial"/>
          <w:noProof/>
          <w:lang w:val="af-ZA"/>
        </w:rPr>
        <w:tab/>
      </w:r>
      <w:r w:rsidRPr="00C0401D">
        <w:rPr>
          <w:rFonts w:ascii="Arial" w:hAnsi="Arial" w:cs="Arial"/>
          <w:noProof/>
          <w:lang w:val="af-ZA"/>
        </w:rPr>
        <w:tab/>
      </w:r>
      <w:r w:rsidRPr="00C0401D">
        <w:rPr>
          <w:rFonts w:ascii="Arial" w:hAnsi="Arial" w:cs="Arial"/>
          <w:noProof/>
          <w:lang w:val="af-ZA"/>
        </w:rPr>
        <w:tab/>
      </w:r>
      <w:r w:rsidRPr="00C0401D">
        <w:rPr>
          <w:rFonts w:ascii="Arial" w:hAnsi="Arial" w:cs="Arial"/>
          <w:noProof/>
          <w:lang w:val="af-ZA"/>
        </w:rPr>
        <w:tab/>
      </w:r>
    </w:p>
    <w:p w14:paraId="428F3A1F" w14:textId="396B69A4" w:rsidR="000A6CC8" w:rsidRPr="000A6CC8" w:rsidRDefault="000A6CC8" w:rsidP="000A6CC8">
      <w:pPr>
        <w:spacing w:before="100" w:beforeAutospacing="1" w:after="100" w:afterAutospacing="1" w:line="360" w:lineRule="auto"/>
        <w:ind w:left="7920" w:firstLine="720"/>
        <w:jc w:val="both"/>
        <w:rPr>
          <w:rFonts w:ascii="Arial" w:eastAsia="Times New Roman" w:hAnsi="Arial" w:cs="Arial"/>
          <w:b/>
        </w:rPr>
      </w:pPr>
      <w:r w:rsidRPr="000A6CC8">
        <w:rPr>
          <w:rFonts w:ascii="Arial" w:eastAsia="Times New Roman" w:hAnsi="Arial" w:cs="Arial"/>
          <w:b/>
        </w:rPr>
        <w:t>NW8E</w:t>
      </w:r>
    </w:p>
    <w:p w14:paraId="0BB58BC9" w14:textId="77777777" w:rsidR="000A6CC8" w:rsidRDefault="000A6CC8" w:rsidP="000A6CC8">
      <w:pPr>
        <w:spacing w:after="0" w:line="360" w:lineRule="auto"/>
        <w:ind w:left="1440" w:hanging="720"/>
        <w:jc w:val="both"/>
        <w:rPr>
          <w:rFonts w:ascii="Arial" w:eastAsia="Times New Roman" w:hAnsi="Arial" w:cs="Arial"/>
        </w:rPr>
      </w:pPr>
    </w:p>
    <w:p w14:paraId="4EC04D4C" w14:textId="1A2144AC" w:rsidR="000A6CC8" w:rsidRDefault="000A6CC8" w:rsidP="000A6CC8">
      <w:pPr>
        <w:spacing w:line="360" w:lineRule="auto"/>
        <w:jc w:val="both"/>
        <w:rPr>
          <w:rFonts w:ascii="Arial" w:eastAsia="Times New Roman" w:hAnsi="Arial" w:cs="Arial"/>
          <w:b/>
        </w:rPr>
      </w:pPr>
      <w:r>
        <w:rPr>
          <w:rFonts w:ascii="Arial" w:eastAsia="Times New Roman" w:hAnsi="Arial" w:cs="Arial"/>
          <w:b/>
        </w:rPr>
        <w:t>R</w:t>
      </w:r>
      <w:r>
        <w:rPr>
          <w:rFonts w:ascii="Arial" w:eastAsia="Times New Roman" w:hAnsi="Arial" w:cs="Arial"/>
          <w:b/>
        </w:rPr>
        <w:t>EPLY</w:t>
      </w:r>
      <w:r>
        <w:rPr>
          <w:rFonts w:ascii="Arial" w:eastAsia="Times New Roman" w:hAnsi="Arial" w:cs="Arial"/>
          <w:b/>
        </w:rPr>
        <w:t>:</w:t>
      </w:r>
    </w:p>
    <w:p w14:paraId="505922B6" w14:textId="77777777" w:rsidR="000A6CC8" w:rsidRDefault="000A6CC8" w:rsidP="000A6CC8">
      <w:pPr>
        <w:pStyle w:val="ListParagraph"/>
        <w:numPr>
          <w:ilvl w:val="0"/>
          <w:numId w:val="8"/>
        </w:numPr>
        <w:spacing w:before="100" w:beforeAutospacing="1" w:after="100" w:afterAutospacing="1" w:line="360" w:lineRule="auto"/>
        <w:ind w:left="426" w:hanging="426"/>
        <w:jc w:val="both"/>
        <w:rPr>
          <w:rFonts w:ascii="Arial" w:hAnsi="Arial" w:cs="Arial"/>
          <w:noProof/>
          <w:lang w:val="af-ZA"/>
        </w:rPr>
      </w:pPr>
      <w:bookmarkStart w:id="0" w:name="_GoBack"/>
      <w:bookmarkEnd w:id="0"/>
      <w:r w:rsidRPr="009F6352">
        <w:rPr>
          <w:rFonts w:ascii="Arial" w:hAnsi="Arial" w:cs="Arial"/>
          <w:noProof/>
          <w:lang w:val="af-ZA"/>
        </w:rPr>
        <w:t xml:space="preserve">Due considerations of this sponsorship were based on the following: </w:t>
      </w:r>
    </w:p>
    <w:p w14:paraId="06957FBB" w14:textId="77777777" w:rsidR="000A6CC8" w:rsidRPr="009F6352" w:rsidRDefault="000A6CC8" w:rsidP="000A6CC8">
      <w:pPr>
        <w:pStyle w:val="ListParagraph"/>
        <w:spacing w:before="100" w:beforeAutospacing="1" w:after="100" w:afterAutospacing="1" w:line="360" w:lineRule="auto"/>
        <w:ind w:left="426"/>
        <w:jc w:val="both"/>
        <w:rPr>
          <w:rFonts w:ascii="Arial" w:hAnsi="Arial" w:cs="Arial"/>
          <w:noProof/>
          <w:lang w:val="af-ZA"/>
        </w:rPr>
      </w:pPr>
    </w:p>
    <w:p w14:paraId="3051D3B8" w14:textId="77777777" w:rsidR="000A6CC8" w:rsidRDefault="000A6CC8" w:rsidP="000A6CC8">
      <w:pPr>
        <w:pStyle w:val="ListParagraph"/>
        <w:numPr>
          <w:ilvl w:val="0"/>
          <w:numId w:val="7"/>
        </w:numPr>
        <w:spacing w:before="100" w:beforeAutospacing="1" w:after="100" w:afterAutospacing="1" w:line="360" w:lineRule="auto"/>
        <w:ind w:left="709" w:hanging="425"/>
        <w:jc w:val="both"/>
        <w:rPr>
          <w:rFonts w:ascii="Arial" w:hAnsi="Arial" w:cs="Arial"/>
          <w:noProof/>
          <w:lang w:val="af-ZA"/>
        </w:rPr>
      </w:pPr>
      <w:r w:rsidRPr="009F6352">
        <w:rPr>
          <w:rFonts w:ascii="Arial" w:hAnsi="Arial" w:cs="Arial"/>
          <w:noProof/>
          <w:lang w:val="af-ZA"/>
        </w:rPr>
        <w:t>Sponsorship objectives</w:t>
      </w:r>
      <w:r w:rsidRPr="0084384C">
        <w:rPr>
          <w:rFonts w:ascii="Arial" w:hAnsi="Arial" w:cs="Arial"/>
          <w:noProof/>
          <w:lang w:val="af-ZA"/>
        </w:rPr>
        <w:t xml:space="preserve">: The sponsorship </w:t>
      </w:r>
      <w:r>
        <w:rPr>
          <w:rFonts w:ascii="Arial" w:hAnsi="Arial" w:cs="Arial"/>
          <w:noProof/>
          <w:lang w:val="af-ZA"/>
        </w:rPr>
        <w:t>was</w:t>
      </w:r>
      <w:r w:rsidRPr="0084384C">
        <w:rPr>
          <w:rFonts w:ascii="Arial" w:hAnsi="Arial" w:cs="Arial"/>
          <w:noProof/>
          <w:lang w:val="af-ZA"/>
        </w:rPr>
        <w:t xml:space="preserve"> within the approved scope when considering sponsorships, and it is within the mandate and D</w:t>
      </w:r>
      <w:r>
        <w:rPr>
          <w:rFonts w:ascii="Arial" w:hAnsi="Arial" w:cs="Arial"/>
          <w:noProof/>
          <w:lang w:val="af-ZA"/>
        </w:rPr>
        <w:t xml:space="preserve">elegated </w:t>
      </w:r>
      <w:r w:rsidRPr="0084384C">
        <w:rPr>
          <w:rFonts w:ascii="Arial" w:hAnsi="Arial" w:cs="Arial"/>
          <w:noProof/>
          <w:lang w:val="af-ZA"/>
        </w:rPr>
        <w:t>L</w:t>
      </w:r>
      <w:r>
        <w:rPr>
          <w:rFonts w:ascii="Arial" w:hAnsi="Arial" w:cs="Arial"/>
          <w:noProof/>
          <w:lang w:val="af-ZA"/>
        </w:rPr>
        <w:t>evel of Authority (DL</w:t>
      </w:r>
      <w:r w:rsidRPr="0084384C">
        <w:rPr>
          <w:rFonts w:ascii="Arial" w:hAnsi="Arial" w:cs="Arial"/>
          <w:noProof/>
          <w:lang w:val="af-ZA"/>
        </w:rPr>
        <w:t xml:space="preserve"> of the CEO</w:t>
      </w:r>
      <w:r>
        <w:rPr>
          <w:rFonts w:ascii="Arial" w:hAnsi="Arial" w:cs="Arial"/>
          <w:noProof/>
          <w:lang w:val="af-ZA"/>
        </w:rPr>
        <w:t xml:space="preserve"> (section 7.7.3.2 of the DLA Procedure Manual).</w:t>
      </w:r>
    </w:p>
    <w:p w14:paraId="4E3408D1" w14:textId="77777777" w:rsidR="000A6CC8" w:rsidRDefault="000A6CC8" w:rsidP="000A6CC8">
      <w:pPr>
        <w:pStyle w:val="ListParagraph"/>
        <w:spacing w:before="100" w:beforeAutospacing="1" w:after="100" w:afterAutospacing="1" w:line="360" w:lineRule="auto"/>
        <w:ind w:left="709"/>
        <w:jc w:val="both"/>
        <w:rPr>
          <w:rFonts w:ascii="Arial" w:hAnsi="Arial" w:cs="Arial"/>
          <w:noProof/>
          <w:lang w:val="af-ZA"/>
        </w:rPr>
      </w:pPr>
    </w:p>
    <w:p w14:paraId="3D432500" w14:textId="77777777" w:rsidR="000A6CC8" w:rsidRDefault="000A6CC8" w:rsidP="000A6CC8">
      <w:pPr>
        <w:pStyle w:val="ListParagraph"/>
        <w:numPr>
          <w:ilvl w:val="0"/>
          <w:numId w:val="7"/>
        </w:numPr>
        <w:spacing w:after="0" w:line="360" w:lineRule="auto"/>
        <w:ind w:left="709" w:hanging="425"/>
        <w:jc w:val="both"/>
        <w:rPr>
          <w:rFonts w:ascii="Arial" w:hAnsi="Arial" w:cs="Arial"/>
          <w:noProof/>
          <w:lang w:val="af-ZA"/>
        </w:rPr>
      </w:pPr>
      <w:r w:rsidRPr="009F6352">
        <w:rPr>
          <w:rFonts w:ascii="Arial" w:hAnsi="Arial" w:cs="Arial"/>
          <w:noProof/>
          <w:lang w:val="af-ZA"/>
        </w:rPr>
        <w:t>Transformation imperatives</w:t>
      </w:r>
      <w:r w:rsidRPr="0084384C">
        <w:rPr>
          <w:rFonts w:ascii="Arial" w:hAnsi="Arial" w:cs="Arial"/>
          <w:noProof/>
          <w:lang w:val="af-ZA"/>
        </w:rPr>
        <w:t xml:space="preserve">: Given the strategic initiative of Airports Company South Africa’s transformation objectives, the 7 sector strategies that will guide implementation have to date been completed namely IT, construction, advertising, property, car rental, retail, and ground handling). </w:t>
      </w:r>
      <w:r>
        <w:rPr>
          <w:rFonts w:ascii="Arial" w:hAnsi="Arial" w:cs="Arial"/>
          <w:noProof/>
          <w:lang w:val="af-ZA"/>
        </w:rPr>
        <w:t>ACSA collobared with t</w:t>
      </w:r>
      <w:r w:rsidRPr="0084384C">
        <w:rPr>
          <w:rFonts w:ascii="Arial" w:hAnsi="Arial" w:cs="Arial"/>
          <w:noProof/>
          <w:lang w:val="af-ZA"/>
        </w:rPr>
        <w:t xml:space="preserve">he BBC (Built Environment) provided assistance in the main with the construction sector strategy. </w:t>
      </w:r>
    </w:p>
    <w:p w14:paraId="53EF3A21" w14:textId="77777777" w:rsidR="000A6CC8" w:rsidRDefault="000A6CC8" w:rsidP="000A6CC8">
      <w:pPr>
        <w:pStyle w:val="ListParagraph"/>
        <w:spacing w:after="0" w:line="360" w:lineRule="auto"/>
        <w:ind w:left="709"/>
        <w:jc w:val="both"/>
        <w:rPr>
          <w:rFonts w:ascii="Arial" w:hAnsi="Arial" w:cs="Arial"/>
          <w:noProof/>
          <w:lang w:val="af-ZA"/>
        </w:rPr>
      </w:pPr>
    </w:p>
    <w:p w14:paraId="1B95E89F" w14:textId="77777777" w:rsidR="000A6CC8" w:rsidRDefault="000A6CC8" w:rsidP="000A6CC8">
      <w:pPr>
        <w:spacing w:after="0" w:line="360" w:lineRule="auto"/>
        <w:ind w:left="567" w:hanging="567"/>
        <w:jc w:val="both"/>
        <w:rPr>
          <w:rFonts w:ascii="Arial" w:hAnsi="Arial" w:cs="Arial"/>
          <w:noProof/>
          <w:lang w:val="af-ZA"/>
        </w:rPr>
      </w:pPr>
      <w:r>
        <w:rPr>
          <w:rFonts w:ascii="Arial" w:hAnsi="Arial" w:cs="Arial"/>
          <w:noProof/>
          <w:lang w:val="af-ZA"/>
        </w:rPr>
        <w:lastRenderedPageBreak/>
        <w:t xml:space="preserve">(2)(i) </w:t>
      </w:r>
      <w:r w:rsidRPr="00D6466D">
        <w:rPr>
          <w:rFonts w:ascii="Arial" w:hAnsi="Arial" w:cs="Arial"/>
          <w:noProof/>
          <w:lang w:val="af-ZA"/>
        </w:rPr>
        <w:t>The sponsorship was within the approved scope when considering sponsorships, and it is within the mandate and Delegated Level of Authority (DLA) of the CEO (section 7.7.3.2 of the DLA Procedure Manual).</w:t>
      </w:r>
    </w:p>
    <w:p w14:paraId="6109CD10" w14:textId="77777777" w:rsidR="000A6CC8" w:rsidRPr="00D6466D" w:rsidRDefault="000A6CC8" w:rsidP="000A6CC8">
      <w:pPr>
        <w:spacing w:after="0" w:line="360" w:lineRule="auto"/>
        <w:ind w:left="567" w:hanging="567"/>
        <w:jc w:val="both"/>
        <w:rPr>
          <w:rFonts w:ascii="Arial" w:hAnsi="Arial" w:cs="Arial"/>
          <w:noProof/>
          <w:lang w:val="af-ZA"/>
        </w:rPr>
      </w:pPr>
    </w:p>
    <w:p w14:paraId="500CCC95" w14:textId="77777777" w:rsidR="000A6CC8" w:rsidRPr="00C1454E" w:rsidRDefault="000A6CC8" w:rsidP="000A6CC8">
      <w:pPr>
        <w:pStyle w:val="ListParagraph"/>
        <w:tabs>
          <w:tab w:val="left" w:pos="284"/>
        </w:tabs>
        <w:spacing w:after="0" w:line="360" w:lineRule="auto"/>
        <w:ind w:left="567" w:hanging="425"/>
        <w:jc w:val="both"/>
        <w:rPr>
          <w:rFonts w:ascii="Arial" w:hAnsi="Arial" w:cs="Arial"/>
          <w:noProof/>
          <w:lang w:val="af-ZA"/>
        </w:rPr>
      </w:pPr>
      <w:r>
        <w:rPr>
          <w:rFonts w:ascii="Arial" w:hAnsi="Arial" w:cs="Arial"/>
          <w:noProof/>
          <w:lang w:val="af-ZA"/>
        </w:rPr>
        <w:t xml:space="preserve">  (ii) </w:t>
      </w:r>
      <w:r w:rsidRPr="001B0CB5">
        <w:rPr>
          <w:rFonts w:ascii="Arial" w:hAnsi="Arial" w:cs="Arial"/>
          <w:noProof/>
          <w:lang w:val="af-ZA"/>
        </w:rPr>
        <w:t>Furthermore, the Aud</w:t>
      </w:r>
      <w:r>
        <w:rPr>
          <w:rFonts w:ascii="Arial" w:hAnsi="Arial" w:cs="Arial"/>
          <w:noProof/>
          <w:lang w:val="af-ZA"/>
        </w:rPr>
        <w:t>it</w:t>
      </w:r>
      <w:r w:rsidRPr="001B0CB5">
        <w:rPr>
          <w:rFonts w:ascii="Arial" w:hAnsi="Arial" w:cs="Arial"/>
          <w:noProof/>
          <w:lang w:val="af-ZA"/>
        </w:rPr>
        <w:t xml:space="preserve">or General conducted an audit on this specific </w:t>
      </w:r>
      <w:r>
        <w:rPr>
          <w:rFonts w:ascii="Arial" w:hAnsi="Arial" w:cs="Arial"/>
          <w:noProof/>
          <w:lang w:val="af-ZA"/>
        </w:rPr>
        <w:t xml:space="preserve">sponsorship </w:t>
      </w:r>
      <w:r w:rsidRPr="001B0CB5">
        <w:rPr>
          <w:rFonts w:ascii="Arial" w:hAnsi="Arial" w:cs="Arial"/>
          <w:noProof/>
          <w:lang w:val="af-ZA"/>
        </w:rPr>
        <w:t>donation and process fol</w:t>
      </w:r>
      <w:r>
        <w:rPr>
          <w:rFonts w:ascii="Arial" w:hAnsi="Arial" w:cs="Arial"/>
          <w:noProof/>
          <w:lang w:val="af-ZA"/>
        </w:rPr>
        <w:t>lo</w:t>
      </w:r>
      <w:r w:rsidRPr="001B0CB5">
        <w:rPr>
          <w:rFonts w:ascii="Arial" w:hAnsi="Arial" w:cs="Arial"/>
          <w:noProof/>
          <w:lang w:val="af-ZA"/>
        </w:rPr>
        <w:t>wed</w:t>
      </w:r>
      <w:r>
        <w:rPr>
          <w:rFonts w:ascii="Arial" w:hAnsi="Arial" w:cs="Arial"/>
          <w:noProof/>
          <w:lang w:val="af-ZA"/>
        </w:rPr>
        <w:t xml:space="preserve"> for the audit of FY2017/2018</w:t>
      </w:r>
      <w:r w:rsidRPr="001B0CB5">
        <w:rPr>
          <w:rFonts w:ascii="Arial" w:hAnsi="Arial" w:cs="Arial"/>
          <w:noProof/>
          <w:lang w:val="af-ZA"/>
        </w:rPr>
        <w:t>. There was no finding o</w:t>
      </w:r>
      <w:r>
        <w:rPr>
          <w:rFonts w:ascii="Arial" w:hAnsi="Arial" w:cs="Arial"/>
          <w:noProof/>
          <w:lang w:val="af-ZA"/>
        </w:rPr>
        <w:t xml:space="preserve">n the process and governance followed, </w:t>
      </w:r>
      <w:r w:rsidRPr="001B0CB5">
        <w:rPr>
          <w:rFonts w:ascii="Arial" w:hAnsi="Arial" w:cs="Arial"/>
          <w:noProof/>
          <w:lang w:val="af-ZA"/>
        </w:rPr>
        <w:t>h</w:t>
      </w:r>
      <w:r>
        <w:rPr>
          <w:rFonts w:ascii="Arial" w:hAnsi="Arial" w:cs="Arial"/>
          <w:noProof/>
          <w:lang w:val="af-ZA"/>
        </w:rPr>
        <w:t>o</w:t>
      </w:r>
      <w:r w:rsidRPr="001B0CB5">
        <w:rPr>
          <w:rFonts w:ascii="Arial" w:hAnsi="Arial" w:cs="Arial"/>
          <w:noProof/>
          <w:lang w:val="af-ZA"/>
        </w:rPr>
        <w:t>wever</w:t>
      </w:r>
      <w:r>
        <w:rPr>
          <w:rFonts w:ascii="Arial" w:hAnsi="Arial" w:cs="Arial"/>
          <w:noProof/>
          <w:lang w:val="af-ZA"/>
        </w:rPr>
        <w:t>,</w:t>
      </w:r>
      <w:r w:rsidRPr="001B0CB5">
        <w:rPr>
          <w:rFonts w:ascii="Arial" w:hAnsi="Arial" w:cs="Arial"/>
          <w:noProof/>
          <w:lang w:val="af-ZA"/>
        </w:rPr>
        <w:t xml:space="preserve"> it was found that ACSA was not to have paid VAT for the </w:t>
      </w:r>
      <w:r>
        <w:rPr>
          <w:rFonts w:ascii="Arial" w:hAnsi="Arial" w:cs="Arial"/>
          <w:noProof/>
          <w:lang w:val="af-ZA"/>
        </w:rPr>
        <w:t>sponsorship</w:t>
      </w:r>
      <w:r w:rsidRPr="001B0CB5">
        <w:rPr>
          <w:rFonts w:ascii="Arial" w:hAnsi="Arial" w:cs="Arial"/>
          <w:noProof/>
          <w:lang w:val="af-ZA"/>
        </w:rPr>
        <w:t xml:space="preserve">. This has since been recitified in the process </w:t>
      </w:r>
      <w:r>
        <w:rPr>
          <w:rFonts w:ascii="Arial" w:hAnsi="Arial" w:cs="Arial"/>
          <w:noProof/>
          <w:lang w:val="af-ZA"/>
        </w:rPr>
        <w:t xml:space="preserve">manual </w:t>
      </w:r>
      <w:r w:rsidRPr="001B0CB5">
        <w:rPr>
          <w:rFonts w:ascii="Arial" w:hAnsi="Arial" w:cs="Arial"/>
          <w:noProof/>
          <w:lang w:val="af-ZA"/>
        </w:rPr>
        <w:t xml:space="preserve">of </w:t>
      </w:r>
      <w:r>
        <w:rPr>
          <w:rFonts w:ascii="Arial" w:hAnsi="Arial" w:cs="Arial"/>
          <w:noProof/>
          <w:lang w:val="af-ZA"/>
        </w:rPr>
        <w:t>sponsorships/</w:t>
      </w:r>
      <w:r w:rsidRPr="001B0CB5">
        <w:rPr>
          <w:rFonts w:ascii="Arial" w:hAnsi="Arial" w:cs="Arial"/>
          <w:noProof/>
          <w:lang w:val="af-ZA"/>
        </w:rPr>
        <w:t>donations.</w:t>
      </w:r>
    </w:p>
    <w:p w14:paraId="16114DF1" w14:textId="77777777" w:rsidR="000A6CC8" w:rsidRPr="00962FDA" w:rsidRDefault="000A6CC8" w:rsidP="000A6CC8">
      <w:pPr>
        <w:pStyle w:val="ListParagraph"/>
        <w:spacing w:after="0" w:line="360" w:lineRule="auto"/>
        <w:ind w:left="426" w:hanging="426"/>
        <w:jc w:val="both"/>
        <w:rPr>
          <w:rFonts w:ascii="Arial" w:hAnsi="Arial" w:cs="Arial"/>
          <w:noProof/>
          <w:lang w:val="af-ZA"/>
        </w:rPr>
      </w:pPr>
      <w:r>
        <w:rPr>
          <w:rFonts w:ascii="Arial" w:hAnsi="Arial" w:cs="Arial"/>
          <w:noProof/>
          <w:lang w:val="af-ZA"/>
        </w:rPr>
        <w:t>(3)</w:t>
      </w:r>
      <w:r>
        <w:rPr>
          <w:rFonts w:ascii="Arial" w:hAnsi="Arial" w:cs="Arial"/>
          <w:noProof/>
          <w:lang w:val="af-ZA"/>
        </w:rPr>
        <w:tab/>
      </w:r>
      <w:r w:rsidRPr="00962FDA">
        <w:rPr>
          <w:rFonts w:ascii="Arial" w:hAnsi="Arial" w:cs="Arial"/>
          <w:noProof/>
          <w:lang w:val="af-ZA"/>
        </w:rPr>
        <w:t>There were no previous sponsorships/donations to the BBC</w:t>
      </w:r>
      <w:r>
        <w:rPr>
          <w:rFonts w:ascii="Arial" w:hAnsi="Arial" w:cs="Arial"/>
          <w:noProof/>
          <w:lang w:val="af-ZA"/>
        </w:rPr>
        <w:t>.</w:t>
      </w:r>
    </w:p>
    <w:p w14:paraId="30E7D9EA" w14:textId="3ED8DFF8" w:rsidR="000A6CC8" w:rsidRDefault="000A6CC8" w:rsidP="000A6CC8">
      <w:pPr>
        <w:spacing w:after="0" w:line="360" w:lineRule="auto"/>
        <w:ind w:left="709" w:hanging="709"/>
        <w:jc w:val="both"/>
        <w:rPr>
          <w:rFonts w:ascii="Arial" w:eastAsia="Times New Roman" w:hAnsi="Arial" w:cs="Arial"/>
        </w:rPr>
      </w:pPr>
      <w:r>
        <w:rPr>
          <w:rFonts w:ascii="Arial" w:eastAsia="Times New Roman" w:hAnsi="Arial" w:cs="Arial"/>
        </w:rPr>
        <w:t>(4)(</w:t>
      </w:r>
      <w:r>
        <w:rPr>
          <w:rFonts w:ascii="Arial" w:eastAsia="Times New Roman" w:hAnsi="Arial" w:cs="Arial"/>
        </w:rPr>
        <w:t>a) There</w:t>
      </w:r>
      <w:r w:rsidRPr="002060FE">
        <w:rPr>
          <w:rFonts w:ascii="Arial" w:eastAsia="Times New Roman" w:hAnsi="Arial" w:cs="Arial"/>
        </w:rPr>
        <w:t xml:space="preserve"> were discussions tabled to formalize an MOU between the two organizations, given the strength of ACSA’s strategic focus of transformation, however, this has not been finalized to guide </w:t>
      </w:r>
      <w:r>
        <w:rPr>
          <w:rFonts w:ascii="Arial" w:eastAsia="Times New Roman" w:hAnsi="Arial" w:cs="Arial"/>
        </w:rPr>
        <w:t>the collaboration going forward, therefore the relationship is informal.</w:t>
      </w:r>
    </w:p>
    <w:p w14:paraId="499FA4CC" w14:textId="77777777" w:rsidR="000A6CC8" w:rsidRPr="00B747A5" w:rsidRDefault="000A6CC8" w:rsidP="000A6CC8">
      <w:pPr>
        <w:tabs>
          <w:tab w:val="left" w:pos="1515"/>
        </w:tabs>
        <w:spacing w:after="0" w:line="360" w:lineRule="auto"/>
        <w:ind w:left="709" w:hanging="709"/>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0C820832" w14:textId="77777777" w:rsidR="000A6CC8" w:rsidRDefault="000A6CC8" w:rsidP="000A6CC8">
      <w:pPr>
        <w:spacing w:after="0" w:line="360" w:lineRule="auto"/>
        <w:jc w:val="both"/>
        <w:rPr>
          <w:rFonts w:ascii="Arial" w:hAnsi="Arial" w:cs="Arial"/>
          <w:noProof/>
          <w:lang w:val="af-ZA"/>
        </w:rPr>
      </w:pPr>
      <w:r>
        <w:rPr>
          <w:rFonts w:ascii="Arial" w:hAnsi="Arial" w:cs="Arial"/>
          <w:noProof/>
          <w:lang w:val="af-ZA"/>
        </w:rPr>
        <w:t>(b)(i)(ii) None of ACSA employees and directors have ties with the organisation.</w:t>
      </w:r>
    </w:p>
    <w:p w14:paraId="76C43CEC" w14:textId="405F045D" w:rsidR="001068D0" w:rsidRPr="00695975" w:rsidRDefault="001068D0" w:rsidP="00695975"/>
    <w:sectPr w:rsidR="001068D0" w:rsidRPr="00695975"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0554" w14:textId="77777777" w:rsidR="00D126F4" w:rsidRDefault="00D126F4" w:rsidP="00DB1508">
      <w:pPr>
        <w:spacing w:after="0" w:line="240" w:lineRule="auto"/>
      </w:pPr>
      <w:r>
        <w:separator/>
      </w:r>
    </w:p>
  </w:endnote>
  <w:endnote w:type="continuationSeparator" w:id="0">
    <w:p w14:paraId="4E070322" w14:textId="77777777" w:rsidR="00D126F4" w:rsidRDefault="00D126F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9D6C" w14:textId="77777777" w:rsidR="00D126F4" w:rsidRDefault="00D126F4" w:rsidP="00DB1508">
      <w:pPr>
        <w:spacing w:after="0" w:line="240" w:lineRule="auto"/>
      </w:pPr>
      <w:r>
        <w:separator/>
      </w:r>
    </w:p>
  </w:footnote>
  <w:footnote w:type="continuationSeparator" w:id="0">
    <w:p w14:paraId="3D18E186" w14:textId="77777777" w:rsidR="00D126F4" w:rsidRDefault="00D126F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6F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CBF1-076F-44DB-8B77-099E204F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2019-03-20T11:04:00Z</dcterms:created>
  <dcterms:modified xsi:type="dcterms:W3CDTF">2019-03-20T11:05:00Z</dcterms:modified>
</cp:coreProperties>
</file>