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24F" w:rsidRPr="0083024F" w:rsidRDefault="0083024F" w:rsidP="0083024F">
      <w:pPr>
        <w:rPr>
          <w:rFonts w:ascii="Arial" w:hAnsi="Arial" w:cs="Arial"/>
          <w:b/>
          <w:lang w:val="en-ZA"/>
        </w:rPr>
      </w:pPr>
      <w:r w:rsidRPr="0083024F">
        <w:rPr>
          <w:rFonts w:ascii="Arial" w:hAnsi="Arial" w:cs="Arial"/>
          <w:noProof/>
          <w:lang w:val="en-ZA" w:eastAsia="en-ZA"/>
        </w:rPr>
        <w:drawing>
          <wp:anchor distT="57150" distB="57150" distL="57150" distR="57150" simplePos="0" relativeHeight="251659264" behindDoc="0" locked="0" layoutInCell="1" allowOverlap="1" wp14:anchorId="38D4D1F6" wp14:editId="5787A28F">
            <wp:simplePos x="0" y="0"/>
            <wp:positionH relativeFrom="margin">
              <wp:align>center</wp:align>
            </wp:positionH>
            <wp:positionV relativeFrom="paragraph">
              <wp:posOffset>0</wp:posOffset>
            </wp:positionV>
            <wp:extent cx="1162050" cy="1438275"/>
            <wp:effectExtent l="0" t="0" r="0" b="9525"/>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438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3024F" w:rsidRPr="0083024F" w:rsidRDefault="0083024F" w:rsidP="0083024F">
      <w:pPr>
        <w:rPr>
          <w:rFonts w:ascii="Arial" w:hAnsi="Arial" w:cs="Arial"/>
          <w:b/>
          <w:lang w:val="en-ZA"/>
        </w:rPr>
      </w:pPr>
    </w:p>
    <w:p w:rsidR="0083024F" w:rsidRPr="0083024F" w:rsidRDefault="0083024F" w:rsidP="0083024F">
      <w:pPr>
        <w:rPr>
          <w:rFonts w:ascii="Arial" w:hAnsi="Arial" w:cs="Arial"/>
          <w:b/>
          <w:lang w:val="en-ZA"/>
        </w:rPr>
      </w:pPr>
    </w:p>
    <w:p w:rsidR="0083024F" w:rsidRPr="0083024F" w:rsidRDefault="0083024F" w:rsidP="0083024F">
      <w:pPr>
        <w:rPr>
          <w:rFonts w:ascii="Arial" w:hAnsi="Arial" w:cs="Arial"/>
          <w:b/>
          <w:lang w:val="en-ZA"/>
        </w:rPr>
      </w:pPr>
    </w:p>
    <w:p w:rsidR="0083024F" w:rsidRPr="0083024F" w:rsidRDefault="0083024F" w:rsidP="0083024F">
      <w:pPr>
        <w:rPr>
          <w:rFonts w:ascii="Arial" w:hAnsi="Arial" w:cs="Arial"/>
          <w:b/>
          <w:lang w:val="en-ZA"/>
        </w:rPr>
      </w:pPr>
    </w:p>
    <w:p w:rsidR="0083024F" w:rsidRPr="00F75CA2" w:rsidRDefault="0083024F" w:rsidP="0083024F">
      <w:pPr>
        <w:rPr>
          <w:rFonts w:ascii="Arial" w:hAnsi="Arial" w:cs="Arial"/>
          <w:b/>
          <w:sz w:val="24"/>
          <w:szCs w:val="24"/>
          <w:lang w:val="en-ZA"/>
        </w:rPr>
      </w:pPr>
    </w:p>
    <w:p w:rsidR="0083024F" w:rsidRPr="00F75CA2" w:rsidRDefault="0083024F" w:rsidP="0083024F">
      <w:pPr>
        <w:jc w:val="center"/>
        <w:rPr>
          <w:rFonts w:ascii="Arial" w:hAnsi="Arial" w:cs="Arial"/>
          <w:b/>
          <w:sz w:val="24"/>
          <w:szCs w:val="24"/>
          <w:lang w:val="en-ZA"/>
        </w:rPr>
      </w:pPr>
      <w:r w:rsidRPr="00F75CA2">
        <w:rPr>
          <w:rFonts w:ascii="Arial" w:hAnsi="Arial" w:cs="Arial"/>
          <w:b/>
          <w:sz w:val="24"/>
          <w:szCs w:val="24"/>
          <w:lang w:val="en-ZA"/>
        </w:rPr>
        <w:t>MINISTRY: PUBLIC SERVICE AND ADMINISTRATION</w:t>
      </w:r>
    </w:p>
    <w:p w:rsidR="0083024F" w:rsidRPr="00F75CA2" w:rsidRDefault="0083024F" w:rsidP="0083024F">
      <w:pPr>
        <w:jc w:val="center"/>
        <w:rPr>
          <w:rFonts w:ascii="Arial" w:hAnsi="Arial" w:cs="Arial"/>
          <w:b/>
          <w:sz w:val="24"/>
          <w:szCs w:val="24"/>
          <w:lang w:val="en-ZA"/>
        </w:rPr>
      </w:pPr>
      <w:r w:rsidRPr="00F75CA2">
        <w:rPr>
          <w:rFonts w:ascii="Arial" w:hAnsi="Arial" w:cs="Arial"/>
          <w:b/>
          <w:sz w:val="24"/>
          <w:szCs w:val="24"/>
          <w:lang w:val="en-ZA"/>
        </w:rPr>
        <w:t>REPUBLIC OF SOUTH AFRICA</w:t>
      </w:r>
    </w:p>
    <w:p w:rsidR="0083024F" w:rsidRPr="00F75CA2" w:rsidRDefault="0083024F" w:rsidP="0083024F">
      <w:pPr>
        <w:rPr>
          <w:rFonts w:ascii="Arial" w:hAnsi="Arial" w:cs="Arial"/>
          <w:b/>
          <w:sz w:val="24"/>
          <w:szCs w:val="24"/>
          <w:lang w:val="en-ZA"/>
        </w:rPr>
      </w:pPr>
    </w:p>
    <w:p w:rsidR="0083024F" w:rsidRPr="00F75CA2" w:rsidRDefault="0083024F" w:rsidP="0083024F">
      <w:pPr>
        <w:rPr>
          <w:rFonts w:ascii="Arial" w:hAnsi="Arial" w:cs="Arial"/>
          <w:b/>
          <w:sz w:val="24"/>
          <w:szCs w:val="24"/>
          <w:lang w:val="en-ZA"/>
        </w:rPr>
      </w:pPr>
      <w:r w:rsidRPr="00F75CA2">
        <w:rPr>
          <w:rFonts w:ascii="Arial" w:hAnsi="Arial" w:cs="Arial"/>
          <w:b/>
          <w:sz w:val="24"/>
          <w:szCs w:val="24"/>
          <w:lang w:val="en-ZA"/>
        </w:rPr>
        <w:t xml:space="preserve">NATIONAL ASSEMBLY </w:t>
      </w:r>
    </w:p>
    <w:p w:rsidR="0083024F" w:rsidRPr="00F75CA2" w:rsidRDefault="0083024F" w:rsidP="0083024F">
      <w:pPr>
        <w:rPr>
          <w:rFonts w:ascii="Arial" w:hAnsi="Arial" w:cs="Arial"/>
          <w:b/>
          <w:sz w:val="24"/>
          <w:szCs w:val="24"/>
          <w:lang w:val="en-ZA"/>
        </w:rPr>
      </w:pPr>
    </w:p>
    <w:p w:rsidR="0083024F" w:rsidRPr="00F75CA2" w:rsidRDefault="0083024F" w:rsidP="0083024F">
      <w:pPr>
        <w:rPr>
          <w:rFonts w:ascii="Arial" w:hAnsi="Arial" w:cs="Arial"/>
          <w:b/>
          <w:sz w:val="24"/>
          <w:szCs w:val="24"/>
          <w:lang w:val="en-ZA"/>
        </w:rPr>
      </w:pPr>
      <w:r w:rsidRPr="00F75CA2">
        <w:rPr>
          <w:rFonts w:ascii="Arial" w:hAnsi="Arial" w:cs="Arial"/>
          <w:b/>
          <w:sz w:val="24"/>
          <w:szCs w:val="24"/>
          <w:lang w:val="en-ZA"/>
        </w:rPr>
        <w:t xml:space="preserve">QUESTION FOR WRITTEN REPLY </w:t>
      </w:r>
    </w:p>
    <w:p w:rsidR="0083024F" w:rsidRPr="00F75CA2" w:rsidRDefault="0083024F" w:rsidP="0083024F">
      <w:pPr>
        <w:rPr>
          <w:rFonts w:ascii="Arial" w:hAnsi="Arial" w:cs="Arial"/>
          <w:b/>
          <w:sz w:val="24"/>
          <w:szCs w:val="24"/>
          <w:lang w:val="en-ZA"/>
        </w:rPr>
      </w:pPr>
    </w:p>
    <w:p w:rsidR="0083024F" w:rsidRPr="00F75CA2" w:rsidRDefault="00F75CA2" w:rsidP="0083024F">
      <w:pPr>
        <w:rPr>
          <w:rFonts w:ascii="Arial" w:hAnsi="Arial" w:cs="Arial"/>
          <w:b/>
          <w:sz w:val="24"/>
          <w:szCs w:val="24"/>
        </w:rPr>
      </w:pPr>
      <w:r w:rsidRPr="00F75CA2">
        <w:rPr>
          <w:rFonts w:ascii="Arial" w:hAnsi="Arial" w:cs="Arial"/>
          <w:b/>
          <w:sz w:val="24"/>
          <w:szCs w:val="24"/>
        </w:rPr>
        <w:t>DATE</w:t>
      </w:r>
      <w:r w:rsidR="0083024F" w:rsidRPr="00F75CA2">
        <w:rPr>
          <w:rFonts w:ascii="Arial" w:hAnsi="Arial" w:cs="Arial"/>
          <w:b/>
          <w:sz w:val="24"/>
          <w:szCs w:val="24"/>
        </w:rPr>
        <w:t xml:space="preserve">: </w:t>
      </w:r>
      <w:r w:rsidRPr="00F75CA2">
        <w:rPr>
          <w:rFonts w:ascii="Arial" w:hAnsi="Arial" w:cs="Arial"/>
          <w:b/>
          <w:sz w:val="24"/>
          <w:szCs w:val="24"/>
        </w:rPr>
        <w:tab/>
      </w:r>
      <w:r w:rsidRPr="00F75CA2">
        <w:rPr>
          <w:rFonts w:ascii="Arial" w:hAnsi="Arial" w:cs="Arial"/>
          <w:b/>
          <w:sz w:val="24"/>
          <w:szCs w:val="24"/>
        </w:rPr>
        <w:tab/>
      </w:r>
      <w:r w:rsidR="0083024F" w:rsidRPr="00F75CA2">
        <w:rPr>
          <w:rFonts w:ascii="Arial" w:hAnsi="Arial" w:cs="Arial"/>
          <w:b/>
          <w:sz w:val="24"/>
          <w:szCs w:val="24"/>
        </w:rPr>
        <w:t>30 AUGUST 2019</w:t>
      </w:r>
    </w:p>
    <w:p w:rsidR="00F75CA2" w:rsidRDefault="00F75CA2" w:rsidP="0083024F">
      <w:pPr>
        <w:rPr>
          <w:rFonts w:ascii="Arial" w:hAnsi="Arial" w:cs="Arial"/>
          <w:b/>
          <w:sz w:val="24"/>
          <w:szCs w:val="24"/>
          <w:lang w:val="en-ZA"/>
        </w:rPr>
      </w:pPr>
    </w:p>
    <w:p w:rsidR="0083024F" w:rsidRPr="00F75CA2" w:rsidRDefault="0083024F" w:rsidP="0083024F">
      <w:pPr>
        <w:rPr>
          <w:rFonts w:ascii="Arial" w:hAnsi="Arial" w:cs="Arial"/>
          <w:b/>
          <w:sz w:val="24"/>
          <w:szCs w:val="24"/>
          <w:lang w:val="en-ZA"/>
        </w:rPr>
      </w:pPr>
      <w:r w:rsidRPr="00F75CA2">
        <w:rPr>
          <w:rFonts w:ascii="Arial" w:hAnsi="Arial" w:cs="Arial"/>
          <w:b/>
          <w:sz w:val="24"/>
          <w:szCs w:val="24"/>
          <w:lang w:val="en-ZA"/>
        </w:rPr>
        <w:t>QUESTION NO.:</w:t>
      </w:r>
      <w:r w:rsidR="00570B55" w:rsidRPr="00F75CA2">
        <w:rPr>
          <w:rFonts w:ascii="Arial" w:hAnsi="Arial" w:cs="Arial"/>
          <w:b/>
          <w:sz w:val="24"/>
          <w:szCs w:val="24"/>
          <w:lang w:val="en-ZA"/>
        </w:rPr>
        <w:t xml:space="preserve"> </w:t>
      </w:r>
      <w:r w:rsidR="00570B55" w:rsidRPr="00F75CA2">
        <w:rPr>
          <w:rFonts w:ascii="Arial" w:hAnsi="Arial" w:cs="Arial"/>
          <w:b/>
          <w:sz w:val="24"/>
          <w:szCs w:val="24"/>
          <w:lang w:val="en-ZA"/>
        </w:rPr>
        <w:tab/>
        <w:t>693</w:t>
      </w:r>
    </w:p>
    <w:p w:rsidR="0083024F" w:rsidRPr="00F75CA2" w:rsidRDefault="0083024F" w:rsidP="0083024F">
      <w:pPr>
        <w:rPr>
          <w:rFonts w:ascii="Arial" w:hAnsi="Arial" w:cs="Arial"/>
          <w:b/>
          <w:sz w:val="24"/>
          <w:szCs w:val="24"/>
          <w:lang w:val="en-ZA"/>
        </w:rPr>
      </w:pPr>
    </w:p>
    <w:p w:rsidR="0083024F" w:rsidRPr="00F75CA2" w:rsidRDefault="0083024F" w:rsidP="0083024F">
      <w:pPr>
        <w:rPr>
          <w:rFonts w:ascii="Arial" w:hAnsi="Arial" w:cs="Arial"/>
          <w:b/>
          <w:sz w:val="24"/>
          <w:szCs w:val="24"/>
          <w:lang w:val="en-GB"/>
        </w:rPr>
      </w:pPr>
      <w:r w:rsidRPr="00F75CA2">
        <w:rPr>
          <w:rFonts w:ascii="Arial" w:hAnsi="Arial" w:cs="Arial"/>
          <w:b/>
          <w:sz w:val="24"/>
          <w:szCs w:val="24"/>
          <w:lang w:val="en-GB"/>
        </w:rPr>
        <w:t xml:space="preserve">Mrs M O CLARKE (DA) </w:t>
      </w:r>
      <w:r w:rsidRPr="00F75CA2">
        <w:rPr>
          <w:rFonts w:ascii="Arial" w:hAnsi="Arial" w:cs="Arial"/>
          <w:b/>
          <w:sz w:val="24"/>
          <w:szCs w:val="24"/>
          <w:lang w:val="en-ZA"/>
        </w:rPr>
        <w:t xml:space="preserve">TO ASK </w:t>
      </w:r>
      <w:r w:rsidRPr="00F75CA2">
        <w:rPr>
          <w:rFonts w:ascii="Arial" w:hAnsi="Arial" w:cs="Arial"/>
          <w:b/>
          <w:sz w:val="24"/>
          <w:szCs w:val="24"/>
          <w:lang w:val="en-GB"/>
        </w:rPr>
        <w:t>THE MINISTER OF PUBLIC SERVICE AND ADMINISTRATION:</w:t>
      </w:r>
    </w:p>
    <w:p w:rsidR="00432682" w:rsidRDefault="003F5621" w:rsidP="00570B55">
      <w:pPr>
        <w:jc w:val="both"/>
        <w:rPr>
          <w:rFonts w:ascii="Arial" w:hAnsi="Arial" w:cs="Arial"/>
          <w:sz w:val="24"/>
          <w:szCs w:val="24"/>
        </w:rPr>
      </w:pPr>
      <w:r w:rsidRPr="00432682">
        <w:rPr>
          <w:rFonts w:ascii="Arial" w:hAnsi="Arial" w:cs="Arial"/>
          <w:sz w:val="24"/>
          <w:szCs w:val="24"/>
        </w:rPr>
        <w:t>What (a) number of recommendations did the Public Service Commission make since 1 January 2018 in line with its mandate of promoting measures that would ensure effective and efficient performance within the Public Service and promoting values and principles of public administration as set out in the Constitution, throughout the Public Service, (b) number of the specified recommendations have been implemented and (c) was the outcome of the implementation of each of the specified recommendations?</w:t>
      </w:r>
    </w:p>
    <w:p w:rsidR="00432682" w:rsidRDefault="00570B55">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F220EB">
        <w:rPr>
          <w:rFonts w:ascii="Arial" w:hAnsi="Arial" w:cs="Arial"/>
          <w:b/>
          <w:noProof/>
          <w:sz w:val="24"/>
          <w:szCs w:val="24"/>
          <w:lang w:val="af-ZA"/>
        </w:rPr>
        <w:t>NW1735E</w:t>
      </w:r>
    </w:p>
    <w:p w:rsidR="003F5621" w:rsidRDefault="003F5621">
      <w:pPr>
        <w:rPr>
          <w:rFonts w:ascii="Arial" w:hAnsi="Arial" w:cs="Arial"/>
          <w:b/>
        </w:rPr>
      </w:pPr>
      <w:r>
        <w:rPr>
          <w:rFonts w:ascii="Arial" w:hAnsi="Arial" w:cs="Arial"/>
          <w:b/>
        </w:rPr>
        <w:t>REPLY</w:t>
      </w:r>
    </w:p>
    <w:p w:rsidR="003F5621" w:rsidRPr="0012706E" w:rsidRDefault="003F5621" w:rsidP="003F5621">
      <w:pPr>
        <w:pStyle w:val="ListParagraph"/>
        <w:numPr>
          <w:ilvl w:val="0"/>
          <w:numId w:val="17"/>
        </w:numPr>
        <w:rPr>
          <w:rFonts w:ascii="Arial" w:hAnsi="Arial" w:cs="Arial"/>
          <w:b/>
          <w:color w:val="000000" w:themeColor="text1"/>
        </w:rPr>
      </w:pPr>
      <w:r>
        <w:rPr>
          <w:rFonts w:ascii="Arial" w:hAnsi="Arial" w:cs="Arial"/>
        </w:rPr>
        <w:t xml:space="preserve">Number of recommendations issued:  </w:t>
      </w:r>
      <w:r w:rsidR="000B5C6B" w:rsidRPr="0012706E">
        <w:rPr>
          <w:rFonts w:ascii="Arial" w:hAnsi="Arial" w:cs="Arial"/>
          <w:b/>
          <w:color w:val="000000" w:themeColor="text1"/>
        </w:rPr>
        <w:t>1</w:t>
      </w:r>
      <w:r w:rsidR="00DB10B6" w:rsidRPr="0012706E">
        <w:rPr>
          <w:rFonts w:ascii="Arial" w:hAnsi="Arial" w:cs="Arial"/>
          <w:b/>
          <w:color w:val="000000" w:themeColor="text1"/>
        </w:rPr>
        <w:t>53</w:t>
      </w:r>
    </w:p>
    <w:p w:rsidR="003F5621" w:rsidRDefault="003F5621" w:rsidP="003F5621">
      <w:pPr>
        <w:pStyle w:val="ListParagraph"/>
        <w:numPr>
          <w:ilvl w:val="0"/>
          <w:numId w:val="17"/>
        </w:numPr>
        <w:rPr>
          <w:rFonts w:ascii="Arial" w:hAnsi="Arial" w:cs="Arial"/>
        </w:rPr>
      </w:pPr>
      <w:r>
        <w:rPr>
          <w:rFonts w:ascii="Arial" w:hAnsi="Arial" w:cs="Arial"/>
        </w:rPr>
        <w:t xml:space="preserve">Number implemented (including partially implemented and to be implemented):  </w:t>
      </w:r>
      <w:r w:rsidR="00107DC0" w:rsidRPr="0012706E">
        <w:rPr>
          <w:rFonts w:ascii="Arial" w:hAnsi="Arial" w:cs="Arial"/>
          <w:b/>
          <w:strike/>
          <w:color w:val="000000" w:themeColor="text1"/>
        </w:rPr>
        <w:t>4</w:t>
      </w:r>
      <w:r w:rsidR="00107DC0" w:rsidRPr="0012706E">
        <w:rPr>
          <w:rFonts w:ascii="Arial" w:hAnsi="Arial" w:cs="Arial"/>
          <w:b/>
          <w:color w:val="000000" w:themeColor="text1"/>
        </w:rPr>
        <w:t>3</w:t>
      </w:r>
    </w:p>
    <w:p w:rsidR="003F5621" w:rsidRDefault="003F5621" w:rsidP="003F5621">
      <w:pPr>
        <w:pStyle w:val="ListParagraph"/>
        <w:numPr>
          <w:ilvl w:val="0"/>
          <w:numId w:val="17"/>
        </w:numPr>
        <w:rPr>
          <w:rFonts w:ascii="Arial" w:hAnsi="Arial" w:cs="Arial"/>
        </w:rPr>
      </w:pPr>
      <w:r>
        <w:rPr>
          <w:rFonts w:ascii="Arial" w:hAnsi="Arial" w:cs="Arial"/>
        </w:rPr>
        <w:t>Outcome:  See notes in the last two columns in the</w:t>
      </w:r>
      <w:r w:rsidR="00EA2885">
        <w:rPr>
          <w:rFonts w:ascii="Arial" w:hAnsi="Arial" w:cs="Arial"/>
        </w:rPr>
        <w:t xml:space="preserve"> detailed</w:t>
      </w:r>
      <w:r>
        <w:rPr>
          <w:rFonts w:ascii="Arial" w:hAnsi="Arial" w:cs="Arial"/>
        </w:rPr>
        <w:t xml:space="preserve"> table</w:t>
      </w:r>
      <w:r w:rsidR="00585B8B">
        <w:rPr>
          <w:rFonts w:ascii="Arial" w:hAnsi="Arial" w:cs="Arial"/>
        </w:rPr>
        <w:t xml:space="preserve"> at Annexure A</w:t>
      </w:r>
      <w:r>
        <w:rPr>
          <w:rFonts w:ascii="Arial" w:hAnsi="Arial" w:cs="Arial"/>
        </w:rPr>
        <w:t xml:space="preserve"> below.</w:t>
      </w:r>
    </w:p>
    <w:p w:rsidR="00432682" w:rsidRPr="003F5621" w:rsidRDefault="00432682" w:rsidP="00432682">
      <w:pPr>
        <w:pStyle w:val="ListParagraph"/>
        <w:rPr>
          <w:rFonts w:ascii="Arial" w:hAnsi="Arial" w:cs="Arial"/>
        </w:rPr>
      </w:pPr>
    </w:p>
    <w:p w:rsidR="00432682" w:rsidRDefault="00432682">
      <w:pPr>
        <w:rPr>
          <w:rFonts w:ascii="Arial" w:hAnsi="Arial" w:cs="Arial"/>
          <w:b/>
        </w:rPr>
      </w:pPr>
      <w:r>
        <w:rPr>
          <w:rFonts w:ascii="Arial" w:hAnsi="Arial" w:cs="Arial"/>
          <w:b/>
        </w:rPr>
        <w:br w:type="page"/>
      </w:r>
    </w:p>
    <w:p w:rsidR="00237E99" w:rsidRPr="00DE501E" w:rsidRDefault="00DE501E">
      <w:pPr>
        <w:rPr>
          <w:rFonts w:ascii="Arial" w:hAnsi="Arial" w:cs="Arial"/>
          <w:b/>
        </w:rPr>
      </w:pPr>
      <w:r>
        <w:rPr>
          <w:rFonts w:ascii="Arial" w:hAnsi="Arial" w:cs="Arial"/>
          <w:b/>
        </w:rPr>
        <w:t>Summary Table</w:t>
      </w:r>
    </w:p>
    <w:tbl>
      <w:tblPr>
        <w:tblStyle w:val="TableGrid"/>
        <w:tblW w:w="0" w:type="auto"/>
        <w:tblLook w:val="04A0" w:firstRow="1" w:lastRow="0" w:firstColumn="1" w:lastColumn="0" w:noHBand="0" w:noVBand="1"/>
      </w:tblPr>
      <w:tblGrid>
        <w:gridCol w:w="4268"/>
        <w:gridCol w:w="4278"/>
        <w:gridCol w:w="804"/>
      </w:tblGrid>
      <w:tr w:rsidR="00DE501E" w:rsidRPr="008344C4" w:rsidTr="00585B8B">
        <w:tc>
          <w:tcPr>
            <w:tcW w:w="4268" w:type="dxa"/>
            <w:vMerge w:val="restart"/>
            <w:vAlign w:val="center"/>
          </w:tcPr>
          <w:p w:rsidR="00DE501E" w:rsidRDefault="00DE501E" w:rsidP="00A2082C">
            <w:pPr>
              <w:jc w:val="center"/>
              <w:rPr>
                <w:rFonts w:ascii="Arial" w:hAnsi="Arial" w:cs="Arial"/>
                <w:b/>
                <w:sz w:val="24"/>
                <w:szCs w:val="24"/>
              </w:rPr>
            </w:pPr>
            <w:r>
              <w:rPr>
                <w:rFonts w:ascii="Arial" w:hAnsi="Arial" w:cs="Arial"/>
                <w:b/>
                <w:sz w:val="24"/>
                <w:szCs w:val="24"/>
              </w:rPr>
              <w:t>Research Reports</w:t>
            </w:r>
          </w:p>
        </w:tc>
        <w:tc>
          <w:tcPr>
            <w:tcW w:w="4278" w:type="dxa"/>
          </w:tcPr>
          <w:p w:rsidR="00DE501E" w:rsidRPr="008344C4" w:rsidRDefault="00DE501E" w:rsidP="00A2082C">
            <w:pPr>
              <w:jc w:val="both"/>
              <w:rPr>
                <w:rFonts w:ascii="Arial" w:hAnsi="Arial" w:cs="Arial"/>
                <w:b/>
              </w:rPr>
            </w:pPr>
            <w:r w:rsidRPr="008344C4">
              <w:rPr>
                <w:rFonts w:ascii="Arial" w:hAnsi="Arial" w:cs="Arial"/>
                <w:b/>
              </w:rPr>
              <w:t>Number of recommendations issued</w:t>
            </w:r>
          </w:p>
        </w:tc>
        <w:tc>
          <w:tcPr>
            <w:tcW w:w="804" w:type="dxa"/>
          </w:tcPr>
          <w:p w:rsidR="00DE501E" w:rsidRPr="001F71CF" w:rsidRDefault="001F71CF" w:rsidP="00A2082C">
            <w:pPr>
              <w:jc w:val="both"/>
              <w:rPr>
                <w:rFonts w:ascii="Arial" w:hAnsi="Arial" w:cs="Arial"/>
                <w:b/>
              </w:rPr>
            </w:pPr>
            <w:r w:rsidRPr="001F71CF">
              <w:rPr>
                <w:rFonts w:ascii="Arial" w:hAnsi="Arial" w:cs="Arial"/>
                <w:b/>
              </w:rPr>
              <w:t>30</w:t>
            </w:r>
          </w:p>
        </w:tc>
      </w:tr>
      <w:tr w:rsidR="00DE501E" w:rsidRPr="008344C4" w:rsidTr="00585B8B">
        <w:tc>
          <w:tcPr>
            <w:tcW w:w="4268" w:type="dxa"/>
            <w:vMerge/>
            <w:vAlign w:val="center"/>
          </w:tcPr>
          <w:p w:rsidR="00DE501E" w:rsidRDefault="00DE501E" w:rsidP="00A2082C">
            <w:pPr>
              <w:jc w:val="center"/>
              <w:rPr>
                <w:rFonts w:ascii="Arial" w:hAnsi="Arial" w:cs="Arial"/>
                <w:b/>
                <w:sz w:val="24"/>
                <w:szCs w:val="24"/>
              </w:rPr>
            </w:pPr>
          </w:p>
        </w:tc>
        <w:tc>
          <w:tcPr>
            <w:tcW w:w="4278" w:type="dxa"/>
          </w:tcPr>
          <w:p w:rsidR="00DE501E" w:rsidRPr="008344C4" w:rsidRDefault="00DE501E" w:rsidP="00A2082C">
            <w:pPr>
              <w:jc w:val="both"/>
              <w:rPr>
                <w:rFonts w:ascii="Arial" w:hAnsi="Arial" w:cs="Arial"/>
              </w:rPr>
            </w:pPr>
            <w:r w:rsidRPr="008344C4">
              <w:rPr>
                <w:rFonts w:ascii="Arial" w:hAnsi="Arial" w:cs="Arial"/>
              </w:rPr>
              <w:t>To be implemented</w:t>
            </w:r>
          </w:p>
        </w:tc>
        <w:tc>
          <w:tcPr>
            <w:tcW w:w="804" w:type="dxa"/>
          </w:tcPr>
          <w:p w:rsidR="00DE501E" w:rsidRPr="00107DC0" w:rsidRDefault="00DE501E" w:rsidP="00A2082C">
            <w:pPr>
              <w:jc w:val="both"/>
              <w:rPr>
                <w:rFonts w:ascii="Arial" w:hAnsi="Arial" w:cs="Arial"/>
              </w:rPr>
            </w:pPr>
            <w:r w:rsidRPr="00107DC0">
              <w:rPr>
                <w:rFonts w:ascii="Arial" w:hAnsi="Arial" w:cs="Arial"/>
              </w:rPr>
              <w:t>1</w:t>
            </w:r>
          </w:p>
        </w:tc>
      </w:tr>
      <w:tr w:rsidR="00DE501E" w:rsidRPr="008344C4" w:rsidTr="00585B8B">
        <w:tc>
          <w:tcPr>
            <w:tcW w:w="4268" w:type="dxa"/>
            <w:vMerge/>
            <w:vAlign w:val="center"/>
          </w:tcPr>
          <w:p w:rsidR="00DE501E" w:rsidRDefault="00DE501E" w:rsidP="00A2082C">
            <w:pPr>
              <w:jc w:val="center"/>
              <w:rPr>
                <w:rFonts w:ascii="Arial" w:hAnsi="Arial" w:cs="Arial"/>
                <w:b/>
                <w:sz w:val="24"/>
                <w:szCs w:val="24"/>
              </w:rPr>
            </w:pPr>
          </w:p>
        </w:tc>
        <w:tc>
          <w:tcPr>
            <w:tcW w:w="4278" w:type="dxa"/>
          </w:tcPr>
          <w:p w:rsidR="00DE501E" w:rsidRPr="008344C4" w:rsidRDefault="00DE501E" w:rsidP="00A2082C">
            <w:pPr>
              <w:jc w:val="both"/>
              <w:rPr>
                <w:rFonts w:ascii="Arial" w:hAnsi="Arial" w:cs="Arial"/>
              </w:rPr>
            </w:pPr>
            <w:r w:rsidRPr="008344C4">
              <w:rPr>
                <w:rFonts w:ascii="Arial" w:hAnsi="Arial" w:cs="Arial"/>
              </w:rPr>
              <w:t>Implemented</w:t>
            </w:r>
          </w:p>
        </w:tc>
        <w:tc>
          <w:tcPr>
            <w:tcW w:w="804" w:type="dxa"/>
          </w:tcPr>
          <w:p w:rsidR="00DE501E" w:rsidRPr="00107DC0" w:rsidRDefault="00DE501E" w:rsidP="00A2082C">
            <w:pPr>
              <w:jc w:val="both"/>
              <w:rPr>
                <w:rFonts w:ascii="Arial" w:hAnsi="Arial" w:cs="Arial"/>
              </w:rPr>
            </w:pPr>
            <w:r w:rsidRPr="00107DC0">
              <w:rPr>
                <w:rFonts w:ascii="Arial" w:hAnsi="Arial" w:cs="Arial"/>
              </w:rPr>
              <w:t>1</w:t>
            </w:r>
          </w:p>
        </w:tc>
      </w:tr>
      <w:tr w:rsidR="00DE501E" w:rsidRPr="008344C4" w:rsidTr="00585B8B">
        <w:tc>
          <w:tcPr>
            <w:tcW w:w="4268" w:type="dxa"/>
            <w:vMerge/>
            <w:vAlign w:val="center"/>
          </w:tcPr>
          <w:p w:rsidR="00DE501E" w:rsidRDefault="00DE501E" w:rsidP="00A2082C">
            <w:pPr>
              <w:jc w:val="center"/>
              <w:rPr>
                <w:rFonts w:ascii="Arial" w:hAnsi="Arial" w:cs="Arial"/>
                <w:b/>
                <w:sz w:val="24"/>
                <w:szCs w:val="24"/>
              </w:rPr>
            </w:pPr>
          </w:p>
        </w:tc>
        <w:tc>
          <w:tcPr>
            <w:tcW w:w="4278" w:type="dxa"/>
          </w:tcPr>
          <w:p w:rsidR="00DE501E" w:rsidRPr="008344C4" w:rsidRDefault="00DE501E" w:rsidP="00A2082C">
            <w:pPr>
              <w:jc w:val="both"/>
              <w:rPr>
                <w:rFonts w:ascii="Arial" w:hAnsi="Arial" w:cs="Arial"/>
                <w:sz w:val="20"/>
                <w:szCs w:val="20"/>
              </w:rPr>
            </w:pPr>
            <w:r w:rsidRPr="008344C4">
              <w:rPr>
                <w:rFonts w:ascii="Arial" w:hAnsi="Arial" w:cs="Arial"/>
                <w:sz w:val="20"/>
                <w:szCs w:val="20"/>
              </w:rPr>
              <w:t xml:space="preserve">Partly implemented </w:t>
            </w:r>
          </w:p>
        </w:tc>
        <w:tc>
          <w:tcPr>
            <w:tcW w:w="804" w:type="dxa"/>
          </w:tcPr>
          <w:p w:rsidR="00DE501E" w:rsidRPr="00107DC0" w:rsidRDefault="00DE501E" w:rsidP="00A2082C">
            <w:pPr>
              <w:jc w:val="both"/>
              <w:rPr>
                <w:rFonts w:ascii="Arial" w:hAnsi="Arial" w:cs="Arial"/>
              </w:rPr>
            </w:pPr>
            <w:r w:rsidRPr="00107DC0">
              <w:rPr>
                <w:rFonts w:ascii="Arial" w:hAnsi="Arial" w:cs="Arial"/>
              </w:rPr>
              <w:t>18</w:t>
            </w:r>
          </w:p>
        </w:tc>
      </w:tr>
      <w:tr w:rsidR="00DE501E" w:rsidRPr="008344C4" w:rsidTr="00585B8B">
        <w:tc>
          <w:tcPr>
            <w:tcW w:w="4268" w:type="dxa"/>
            <w:vMerge/>
            <w:vAlign w:val="center"/>
          </w:tcPr>
          <w:p w:rsidR="00DE501E" w:rsidRDefault="00DE501E" w:rsidP="00A2082C">
            <w:pPr>
              <w:jc w:val="center"/>
              <w:rPr>
                <w:rFonts w:ascii="Arial" w:hAnsi="Arial" w:cs="Arial"/>
                <w:b/>
                <w:sz w:val="24"/>
                <w:szCs w:val="24"/>
              </w:rPr>
            </w:pPr>
          </w:p>
        </w:tc>
        <w:tc>
          <w:tcPr>
            <w:tcW w:w="4278" w:type="dxa"/>
          </w:tcPr>
          <w:p w:rsidR="00DE501E" w:rsidRPr="008344C4" w:rsidRDefault="00DE501E" w:rsidP="00A2082C">
            <w:pPr>
              <w:jc w:val="both"/>
              <w:rPr>
                <w:rFonts w:ascii="Arial" w:hAnsi="Arial" w:cs="Arial"/>
              </w:rPr>
            </w:pPr>
            <w:r w:rsidRPr="008344C4">
              <w:rPr>
                <w:rFonts w:ascii="Arial" w:hAnsi="Arial" w:cs="Arial"/>
              </w:rPr>
              <w:t>Not implemented</w:t>
            </w:r>
          </w:p>
        </w:tc>
        <w:tc>
          <w:tcPr>
            <w:tcW w:w="804" w:type="dxa"/>
          </w:tcPr>
          <w:p w:rsidR="00DE501E" w:rsidRPr="008344C4" w:rsidRDefault="00DE501E" w:rsidP="00A2082C">
            <w:pPr>
              <w:jc w:val="both"/>
              <w:rPr>
                <w:rFonts w:ascii="Arial" w:hAnsi="Arial" w:cs="Arial"/>
              </w:rPr>
            </w:pPr>
            <w:r>
              <w:rPr>
                <w:rFonts w:ascii="Arial" w:hAnsi="Arial" w:cs="Arial"/>
              </w:rPr>
              <w:t>10</w:t>
            </w:r>
          </w:p>
        </w:tc>
      </w:tr>
      <w:tr w:rsidR="00DE501E" w:rsidRPr="008344C4" w:rsidTr="00585B8B">
        <w:tc>
          <w:tcPr>
            <w:tcW w:w="4268" w:type="dxa"/>
            <w:vMerge w:val="restart"/>
            <w:vAlign w:val="center"/>
          </w:tcPr>
          <w:p w:rsidR="00DE501E" w:rsidRPr="008344C4" w:rsidRDefault="00DE501E" w:rsidP="00A2082C">
            <w:pPr>
              <w:jc w:val="center"/>
              <w:rPr>
                <w:rFonts w:ascii="Arial" w:hAnsi="Arial" w:cs="Arial"/>
              </w:rPr>
            </w:pPr>
            <w:r>
              <w:rPr>
                <w:rFonts w:ascii="Arial" w:hAnsi="Arial" w:cs="Arial"/>
                <w:b/>
                <w:sz w:val="24"/>
                <w:szCs w:val="24"/>
              </w:rPr>
              <w:t>Public Administration Investigations</w:t>
            </w:r>
          </w:p>
        </w:tc>
        <w:tc>
          <w:tcPr>
            <w:tcW w:w="4278" w:type="dxa"/>
          </w:tcPr>
          <w:p w:rsidR="00DE501E" w:rsidRPr="008344C4" w:rsidRDefault="00DE501E" w:rsidP="00A2082C">
            <w:pPr>
              <w:jc w:val="both"/>
              <w:rPr>
                <w:rFonts w:ascii="Arial" w:hAnsi="Arial" w:cs="Arial"/>
                <w:b/>
              </w:rPr>
            </w:pPr>
            <w:r w:rsidRPr="008344C4">
              <w:rPr>
                <w:rFonts w:ascii="Arial" w:hAnsi="Arial" w:cs="Arial"/>
                <w:b/>
              </w:rPr>
              <w:t>Number of recommendations issued</w:t>
            </w:r>
          </w:p>
        </w:tc>
        <w:tc>
          <w:tcPr>
            <w:tcW w:w="804" w:type="dxa"/>
          </w:tcPr>
          <w:p w:rsidR="00DE501E" w:rsidRPr="001F71CF" w:rsidRDefault="00DB10B6" w:rsidP="00DB10B6">
            <w:pPr>
              <w:jc w:val="both"/>
              <w:rPr>
                <w:rFonts w:ascii="Arial" w:hAnsi="Arial" w:cs="Arial"/>
                <w:b/>
                <w:color w:val="000000" w:themeColor="text1"/>
              </w:rPr>
            </w:pPr>
            <w:r w:rsidRPr="001F71CF">
              <w:rPr>
                <w:rFonts w:ascii="Arial" w:hAnsi="Arial" w:cs="Arial"/>
                <w:b/>
                <w:color w:val="000000" w:themeColor="text1"/>
              </w:rPr>
              <w:t>77</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No feedback received</w:t>
            </w:r>
          </w:p>
        </w:tc>
        <w:tc>
          <w:tcPr>
            <w:tcW w:w="804" w:type="dxa"/>
          </w:tcPr>
          <w:p w:rsidR="00DE501E" w:rsidRPr="001F71CF" w:rsidRDefault="00DB10B6" w:rsidP="00A2082C">
            <w:pPr>
              <w:jc w:val="both"/>
              <w:rPr>
                <w:rFonts w:ascii="Arial" w:hAnsi="Arial" w:cs="Arial"/>
                <w:color w:val="000000" w:themeColor="text1"/>
              </w:rPr>
            </w:pPr>
            <w:r w:rsidRPr="001F71CF">
              <w:rPr>
                <w:rFonts w:ascii="Arial" w:hAnsi="Arial" w:cs="Arial"/>
                <w:color w:val="000000" w:themeColor="text1"/>
              </w:rPr>
              <w:t>32</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To be implemented</w:t>
            </w:r>
          </w:p>
        </w:tc>
        <w:tc>
          <w:tcPr>
            <w:tcW w:w="804" w:type="dxa"/>
          </w:tcPr>
          <w:p w:rsidR="00DE501E" w:rsidRPr="00107DC0" w:rsidRDefault="00F202AD" w:rsidP="000B5C6B">
            <w:pPr>
              <w:jc w:val="both"/>
              <w:rPr>
                <w:rFonts w:ascii="Arial" w:hAnsi="Arial" w:cs="Arial"/>
              </w:rPr>
            </w:pPr>
            <w:r w:rsidRPr="00107DC0">
              <w:rPr>
                <w:rFonts w:ascii="Arial" w:hAnsi="Arial" w:cs="Arial"/>
              </w:rPr>
              <w:t>9</w:t>
            </w:r>
            <w:r w:rsidR="00DB10B6" w:rsidRPr="00107DC0">
              <w:rPr>
                <w:rFonts w:ascii="Arial" w:hAnsi="Arial" w:cs="Arial"/>
              </w:rPr>
              <w:t xml:space="preserve"> </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Subject to court judgement</w:t>
            </w:r>
          </w:p>
        </w:tc>
        <w:tc>
          <w:tcPr>
            <w:tcW w:w="804" w:type="dxa"/>
          </w:tcPr>
          <w:p w:rsidR="00DE501E" w:rsidRPr="008344C4" w:rsidRDefault="00DE501E" w:rsidP="00A2082C">
            <w:pPr>
              <w:jc w:val="both"/>
              <w:rPr>
                <w:rFonts w:ascii="Arial" w:hAnsi="Arial" w:cs="Arial"/>
              </w:rPr>
            </w:pPr>
            <w:r w:rsidRPr="008344C4">
              <w:rPr>
                <w:rFonts w:ascii="Arial" w:hAnsi="Arial" w:cs="Arial"/>
              </w:rPr>
              <w:t>31</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Implemented</w:t>
            </w:r>
          </w:p>
        </w:tc>
        <w:tc>
          <w:tcPr>
            <w:tcW w:w="804" w:type="dxa"/>
          </w:tcPr>
          <w:p w:rsidR="00DE501E" w:rsidRPr="008344C4" w:rsidRDefault="000B5C6B" w:rsidP="00A2082C">
            <w:pPr>
              <w:jc w:val="both"/>
              <w:rPr>
                <w:rFonts w:ascii="Arial" w:hAnsi="Arial" w:cs="Arial"/>
              </w:rPr>
            </w:pPr>
            <w:r w:rsidRPr="00107DC0">
              <w:rPr>
                <w:rFonts w:ascii="Arial" w:hAnsi="Arial" w:cs="Arial"/>
              </w:rPr>
              <w:t>5</w:t>
            </w:r>
          </w:p>
        </w:tc>
      </w:tr>
      <w:tr w:rsidR="00DE501E" w:rsidRPr="008344C4" w:rsidTr="00585B8B">
        <w:tc>
          <w:tcPr>
            <w:tcW w:w="4268" w:type="dxa"/>
            <w:vMerge w:val="restart"/>
            <w:vAlign w:val="center"/>
          </w:tcPr>
          <w:p w:rsidR="00DE501E" w:rsidRPr="008344C4" w:rsidRDefault="00DE501E" w:rsidP="00A2082C">
            <w:pPr>
              <w:jc w:val="center"/>
              <w:rPr>
                <w:rFonts w:ascii="Arial" w:hAnsi="Arial" w:cs="Arial"/>
              </w:rPr>
            </w:pPr>
            <w:r>
              <w:rPr>
                <w:rFonts w:ascii="Arial" w:hAnsi="Arial" w:cs="Arial"/>
                <w:b/>
                <w:sz w:val="24"/>
                <w:szCs w:val="24"/>
              </w:rPr>
              <w:t>Grievances</w:t>
            </w:r>
          </w:p>
        </w:tc>
        <w:tc>
          <w:tcPr>
            <w:tcW w:w="4278" w:type="dxa"/>
          </w:tcPr>
          <w:p w:rsidR="00DE501E" w:rsidRPr="008344C4" w:rsidRDefault="00DE501E" w:rsidP="00A2082C">
            <w:pPr>
              <w:jc w:val="both"/>
              <w:rPr>
                <w:rFonts w:ascii="Arial" w:hAnsi="Arial" w:cs="Arial"/>
                <w:b/>
              </w:rPr>
            </w:pPr>
            <w:r w:rsidRPr="008344C4">
              <w:rPr>
                <w:rFonts w:ascii="Arial" w:hAnsi="Arial" w:cs="Arial"/>
                <w:b/>
              </w:rPr>
              <w:t>Number of recommendations issued</w:t>
            </w:r>
          </w:p>
        </w:tc>
        <w:tc>
          <w:tcPr>
            <w:tcW w:w="804" w:type="dxa"/>
          </w:tcPr>
          <w:p w:rsidR="00DE501E" w:rsidRPr="001F71CF" w:rsidRDefault="00DE501E" w:rsidP="00A2082C">
            <w:pPr>
              <w:jc w:val="both"/>
              <w:rPr>
                <w:rFonts w:ascii="Arial" w:hAnsi="Arial" w:cs="Arial"/>
                <w:b/>
              </w:rPr>
            </w:pPr>
            <w:r w:rsidRPr="001F71CF">
              <w:rPr>
                <w:rFonts w:ascii="Arial" w:hAnsi="Arial" w:cs="Arial"/>
                <w:b/>
              </w:rPr>
              <w:t>46</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No feedback received</w:t>
            </w:r>
          </w:p>
        </w:tc>
        <w:tc>
          <w:tcPr>
            <w:tcW w:w="804" w:type="dxa"/>
          </w:tcPr>
          <w:p w:rsidR="00DE501E" w:rsidRPr="008344C4" w:rsidRDefault="00DE501E" w:rsidP="00A2082C">
            <w:pPr>
              <w:jc w:val="both"/>
              <w:rPr>
                <w:rFonts w:ascii="Arial" w:hAnsi="Arial" w:cs="Arial"/>
              </w:rPr>
            </w:pPr>
            <w:r>
              <w:rPr>
                <w:rFonts w:ascii="Arial" w:hAnsi="Arial" w:cs="Arial"/>
              </w:rPr>
              <w:t>35</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To be implemented</w:t>
            </w:r>
          </w:p>
        </w:tc>
        <w:tc>
          <w:tcPr>
            <w:tcW w:w="804" w:type="dxa"/>
          </w:tcPr>
          <w:p w:rsidR="00DE501E" w:rsidRPr="008344C4" w:rsidRDefault="00DE501E" w:rsidP="00A2082C">
            <w:pPr>
              <w:jc w:val="both"/>
              <w:rPr>
                <w:rFonts w:ascii="Arial" w:hAnsi="Arial" w:cs="Arial"/>
              </w:rPr>
            </w:pP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Implemented</w:t>
            </w:r>
          </w:p>
        </w:tc>
        <w:tc>
          <w:tcPr>
            <w:tcW w:w="804" w:type="dxa"/>
          </w:tcPr>
          <w:p w:rsidR="00DE501E" w:rsidRPr="008344C4" w:rsidRDefault="00DE501E" w:rsidP="00A2082C">
            <w:pPr>
              <w:jc w:val="both"/>
              <w:rPr>
                <w:rFonts w:ascii="Arial" w:hAnsi="Arial" w:cs="Arial"/>
              </w:rPr>
            </w:pPr>
            <w:r w:rsidRPr="00107DC0">
              <w:rPr>
                <w:rFonts w:ascii="Arial" w:hAnsi="Arial" w:cs="Arial"/>
              </w:rPr>
              <w:t>9</w:t>
            </w: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sz w:val="20"/>
                <w:szCs w:val="20"/>
              </w:rPr>
            </w:pPr>
            <w:r w:rsidRPr="008344C4">
              <w:rPr>
                <w:rFonts w:ascii="Arial" w:hAnsi="Arial" w:cs="Arial"/>
                <w:sz w:val="20"/>
                <w:szCs w:val="20"/>
              </w:rPr>
              <w:t xml:space="preserve">Partly implemented </w:t>
            </w:r>
          </w:p>
        </w:tc>
        <w:tc>
          <w:tcPr>
            <w:tcW w:w="804" w:type="dxa"/>
          </w:tcPr>
          <w:p w:rsidR="00DE501E" w:rsidRDefault="00DE501E" w:rsidP="00A2082C">
            <w:pPr>
              <w:jc w:val="both"/>
              <w:rPr>
                <w:rFonts w:ascii="Arial" w:hAnsi="Arial" w:cs="Arial"/>
              </w:rPr>
            </w:pPr>
          </w:p>
        </w:tc>
      </w:tr>
      <w:tr w:rsidR="00DE501E" w:rsidRPr="008344C4" w:rsidTr="00585B8B">
        <w:tc>
          <w:tcPr>
            <w:tcW w:w="4268" w:type="dxa"/>
            <w:vMerge/>
          </w:tcPr>
          <w:p w:rsidR="00DE501E" w:rsidRPr="008344C4" w:rsidRDefault="00DE501E" w:rsidP="00A2082C">
            <w:pPr>
              <w:jc w:val="both"/>
              <w:rPr>
                <w:rFonts w:ascii="Arial" w:hAnsi="Arial" w:cs="Arial"/>
              </w:rPr>
            </w:pPr>
          </w:p>
        </w:tc>
        <w:tc>
          <w:tcPr>
            <w:tcW w:w="4278" w:type="dxa"/>
          </w:tcPr>
          <w:p w:rsidR="00DE501E" w:rsidRPr="008344C4" w:rsidRDefault="00DE501E" w:rsidP="00A2082C">
            <w:pPr>
              <w:jc w:val="both"/>
              <w:rPr>
                <w:rFonts w:ascii="Arial" w:hAnsi="Arial" w:cs="Arial"/>
              </w:rPr>
            </w:pPr>
            <w:r w:rsidRPr="008344C4">
              <w:rPr>
                <w:rFonts w:ascii="Arial" w:hAnsi="Arial" w:cs="Arial"/>
              </w:rPr>
              <w:t>Not implemented</w:t>
            </w:r>
          </w:p>
        </w:tc>
        <w:tc>
          <w:tcPr>
            <w:tcW w:w="804" w:type="dxa"/>
          </w:tcPr>
          <w:p w:rsidR="00DE501E" w:rsidRPr="008344C4" w:rsidRDefault="00DE501E" w:rsidP="00A2082C">
            <w:pPr>
              <w:jc w:val="both"/>
              <w:rPr>
                <w:rFonts w:ascii="Arial" w:hAnsi="Arial" w:cs="Arial"/>
              </w:rPr>
            </w:pPr>
            <w:r>
              <w:rPr>
                <w:rFonts w:ascii="Arial" w:hAnsi="Arial" w:cs="Arial"/>
              </w:rPr>
              <w:t>2</w:t>
            </w:r>
          </w:p>
        </w:tc>
      </w:tr>
    </w:tbl>
    <w:p w:rsidR="00432682" w:rsidRDefault="00432682">
      <w:pPr>
        <w:sectPr w:rsidR="00432682" w:rsidSect="00432682">
          <w:footerReference w:type="default" r:id="rId9"/>
          <w:pgSz w:w="12240" w:h="15840"/>
          <w:pgMar w:top="1440" w:right="1440" w:bottom="1440" w:left="1440" w:header="720" w:footer="720" w:gutter="0"/>
          <w:cols w:space="720"/>
          <w:docGrid w:linePitch="360"/>
        </w:sectPr>
      </w:pPr>
    </w:p>
    <w:p w:rsidR="00DE501E" w:rsidRPr="00585B8B" w:rsidRDefault="00585B8B">
      <w:pPr>
        <w:rPr>
          <w:rFonts w:ascii="Arial" w:hAnsi="Arial" w:cs="Arial"/>
        </w:rPr>
      </w:pPr>
      <w:r w:rsidRPr="00585B8B">
        <w:rPr>
          <w:rFonts w:ascii="Arial" w:hAnsi="Arial" w:cs="Arial"/>
        </w:rPr>
        <w:t>Annexure A: DETAILS OF IMPLEMENTATION OF RECOMMENDATIONS</w:t>
      </w:r>
    </w:p>
    <w:tbl>
      <w:tblPr>
        <w:tblStyle w:val="TableGrid"/>
        <w:tblW w:w="14204" w:type="dxa"/>
        <w:tblInd w:w="-545" w:type="dxa"/>
        <w:tblLayout w:type="fixed"/>
        <w:tblLook w:val="04A0" w:firstRow="1" w:lastRow="0" w:firstColumn="1" w:lastColumn="0" w:noHBand="0" w:noVBand="1"/>
      </w:tblPr>
      <w:tblGrid>
        <w:gridCol w:w="2042"/>
        <w:gridCol w:w="1768"/>
        <w:gridCol w:w="4020"/>
        <w:gridCol w:w="2268"/>
        <w:gridCol w:w="162"/>
        <w:gridCol w:w="74"/>
        <w:gridCol w:w="3796"/>
        <w:gridCol w:w="74"/>
      </w:tblGrid>
      <w:tr w:rsidR="00237E99" w:rsidRPr="00585B8B" w:rsidTr="00585B8B">
        <w:trPr>
          <w:gridAfter w:val="1"/>
          <w:wAfter w:w="74" w:type="dxa"/>
          <w:tblHeader/>
        </w:trPr>
        <w:tc>
          <w:tcPr>
            <w:tcW w:w="2042" w:type="dxa"/>
            <w:shd w:val="clear" w:color="auto" w:fill="C5E0B3" w:themeFill="accent6" w:themeFillTint="66"/>
          </w:tcPr>
          <w:p w:rsidR="00237E99" w:rsidRPr="00585B8B" w:rsidRDefault="00237E99" w:rsidP="00585B8B">
            <w:pPr>
              <w:rPr>
                <w:rFonts w:ascii="Arial" w:hAnsi="Arial" w:cs="Arial"/>
                <w:b/>
                <w:sz w:val="20"/>
                <w:szCs w:val="20"/>
              </w:rPr>
            </w:pPr>
            <w:r w:rsidRPr="00585B8B">
              <w:rPr>
                <w:rFonts w:ascii="Arial" w:hAnsi="Arial" w:cs="Arial"/>
                <w:b/>
                <w:sz w:val="20"/>
                <w:szCs w:val="20"/>
              </w:rPr>
              <w:t xml:space="preserve">Title of Report </w:t>
            </w:r>
          </w:p>
        </w:tc>
        <w:tc>
          <w:tcPr>
            <w:tcW w:w="1768" w:type="dxa"/>
            <w:shd w:val="clear" w:color="auto" w:fill="C5E0B3" w:themeFill="accent6" w:themeFillTint="66"/>
          </w:tcPr>
          <w:p w:rsidR="00237E99" w:rsidRPr="00585B8B" w:rsidRDefault="00237E99" w:rsidP="00585B8B">
            <w:pPr>
              <w:rPr>
                <w:rFonts w:ascii="Arial" w:hAnsi="Arial" w:cs="Arial"/>
                <w:b/>
                <w:sz w:val="20"/>
                <w:szCs w:val="20"/>
              </w:rPr>
            </w:pPr>
            <w:r w:rsidRPr="00585B8B">
              <w:rPr>
                <w:rFonts w:ascii="Arial" w:hAnsi="Arial" w:cs="Arial"/>
                <w:b/>
                <w:sz w:val="20"/>
                <w:szCs w:val="20"/>
              </w:rPr>
              <w:t xml:space="preserve">Department </w:t>
            </w:r>
          </w:p>
        </w:tc>
        <w:tc>
          <w:tcPr>
            <w:tcW w:w="4020" w:type="dxa"/>
            <w:shd w:val="clear" w:color="auto" w:fill="C5E0B3" w:themeFill="accent6" w:themeFillTint="66"/>
          </w:tcPr>
          <w:p w:rsidR="00237E99" w:rsidRPr="00585B8B" w:rsidRDefault="00237E99" w:rsidP="00585B8B">
            <w:pPr>
              <w:rPr>
                <w:rFonts w:ascii="Arial" w:hAnsi="Arial" w:cs="Arial"/>
                <w:b/>
                <w:sz w:val="20"/>
                <w:szCs w:val="20"/>
              </w:rPr>
            </w:pPr>
            <w:r w:rsidRPr="00585B8B">
              <w:rPr>
                <w:rFonts w:ascii="Arial" w:hAnsi="Arial" w:cs="Arial"/>
                <w:b/>
                <w:sz w:val="20"/>
                <w:szCs w:val="20"/>
              </w:rPr>
              <w:t>Key Recommendations</w:t>
            </w:r>
          </w:p>
        </w:tc>
        <w:tc>
          <w:tcPr>
            <w:tcW w:w="2430" w:type="dxa"/>
            <w:gridSpan w:val="2"/>
            <w:shd w:val="clear" w:color="auto" w:fill="C5E0B3" w:themeFill="accent6" w:themeFillTint="66"/>
          </w:tcPr>
          <w:p w:rsidR="00237E99" w:rsidRPr="00585B8B" w:rsidRDefault="00237E99" w:rsidP="00585B8B">
            <w:pPr>
              <w:rPr>
                <w:rFonts w:ascii="Arial" w:hAnsi="Arial" w:cs="Arial"/>
                <w:b/>
                <w:sz w:val="20"/>
                <w:szCs w:val="20"/>
              </w:rPr>
            </w:pPr>
            <w:r w:rsidRPr="00585B8B">
              <w:rPr>
                <w:rFonts w:ascii="Arial" w:hAnsi="Arial" w:cs="Arial"/>
                <w:b/>
                <w:sz w:val="20"/>
                <w:szCs w:val="20"/>
              </w:rPr>
              <w:t xml:space="preserve">Outcome of implementation of the recommendations </w:t>
            </w:r>
          </w:p>
        </w:tc>
        <w:tc>
          <w:tcPr>
            <w:tcW w:w="3870" w:type="dxa"/>
            <w:gridSpan w:val="2"/>
            <w:shd w:val="clear" w:color="auto" w:fill="C5E0B3" w:themeFill="accent6" w:themeFillTint="66"/>
          </w:tcPr>
          <w:p w:rsidR="00237E99" w:rsidRPr="00585B8B" w:rsidRDefault="00237E99" w:rsidP="00585B8B">
            <w:pPr>
              <w:rPr>
                <w:rFonts w:ascii="Arial" w:hAnsi="Arial" w:cs="Arial"/>
                <w:b/>
                <w:sz w:val="20"/>
                <w:szCs w:val="20"/>
              </w:rPr>
            </w:pPr>
            <w:r w:rsidRPr="00585B8B">
              <w:rPr>
                <w:rFonts w:ascii="Arial" w:hAnsi="Arial" w:cs="Arial"/>
                <w:b/>
                <w:sz w:val="20"/>
                <w:szCs w:val="20"/>
              </w:rPr>
              <w:t xml:space="preserve">Comments </w:t>
            </w:r>
          </w:p>
        </w:tc>
      </w:tr>
      <w:tr w:rsidR="00432682" w:rsidRPr="00585B8B" w:rsidTr="00585B8B">
        <w:trPr>
          <w:gridAfter w:val="1"/>
          <w:wAfter w:w="74" w:type="dxa"/>
        </w:trPr>
        <w:tc>
          <w:tcPr>
            <w:tcW w:w="2042" w:type="dxa"/>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Service Delivery Inspection at 1 Military Hospital  (Thaba-Tshwane)</w:t>
            </w:r>
          </w:p>
        </w:tc>
        <w:tc>
          <w:tcPr>
            <w:tcW w:w="1768" w:type="dxa"/>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Department of Defence (DoD)  and Military Veterans</w:t>
            </w: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DoD supported by the PSC and the Office of the Military Ombudsman to engage with the City of Tshwane to explore the possibility of allocating an electricity transformer/grid to the hospital.</w:t>
            </w:r>
          </w:p>
        </w:tc>
        <w:tc>
          <w:tcPr>
            <w:tcW w:w="2430" w:type="dxa"/>
            <w:gridSpan w:val="2"/>
            <w:vMerge w:val="restart"/>
          </w:tcPr>
          <w:p w:rsidR="00432682" w:rsidRPr="00585B8B" w:rsidRDefault="00432682" w:rsidP="00585B8B">
            <w:pPr>
              <w:rPr>
                <w:rFonts w:ascii="Arial" w:hAnsi="Arial" w:cs="Arial"/>
                <w:b/>
                <w:sz w:val="20"/>
                <w:szCs w:val="20"/>
              </w:rPr>
            </w:pPr>
            <w:r w:rsidRPr="00585B8B">
              <w:rPr>
                <w:rFonts w:ascii="Arial" w:hAnsi="Arial" w:cs="Arial"/>
                <w:b/>
                <w:sz w:val="20"/>
                <w:szCs w:val="20"/>
              </w:rPr>
              <w:t xml:space="preserve">Not implemented </w:t>
            </w:r>
          </w:p>
        </w:tc>
        <w:tc>
          <w:tcPr>
            <w:tcW w:w="3870" w:type="dxa"/>
            <w:gridSpan w:val="2"/>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 xml:space="preserve">The PSC forwarded the report to the Minister on 29 May 2018 and requested an engagement regarding the findings. Further correspondence through email dating back to 6 July 2018 were directed to the Chief of Staff of the Ministry to no avail. </w:t>
            </w:r>
          </w:p>
          <w:p w:rsidR="00432682" w:rsidRPr="00585B8B" w:rsidRDefault="00432682" w:rsidP="00585B8B">
            <w:pPr>
              <w:jc w:val="both"/>
              <w:rPr>
                <w:rFonts w:ascii="Arial" w:hAnsi="Arial" w:cs="Arial"/>
                <w:sz w:val="20"/>
                <w:szCs w:val="20"/>
              </w:rPr>
            </w:pPr>
          </w:p>
          <w:p w:rsidR="00432682" w:rsidRDefault="00432682" w:rsidP="00585B8B">
            <w:pPr>
              <w:tabs>
                <w:tab w:val="left" w:pos="9360"/>
              </w:tabs>
              <w:jc w:val="both"/>
              <w:rPr>
                <w:rFonts w:ascii="Arial" w:hAnsi="Arial" w:cs="Arial"/>
                <w:sz w:val="20"/>
                <w:szCs w:val="20"/>
              </w:rPr>
            </w:pPr>
            <w:r w:rsidRPr="00585B8B">
              <w:rPr>
                <w:rFonts w:ascii="Arial" w:hAnsi="Arial" w:cs="Arial"/>
                <w:sz w:val="20"/>
                <w:szCs w:val="20"/>
              </w:rPr>
              <w:t xml:space="preserve">As an alternative, the PSC held a meeting with the Secretary for Defence on 28 March 2019 and agreed that the Department will provide the PSC with an action plan within 60 days. To date, no feedback has been received.  </w:t>
            </w:r>
          </w:p>
          <w:p w:rsidR="00585B8B" w:rsidRPr="00585B8B" w:rsidRDefault="00585B8B" w:rsidP="00585B8B">
            <w:pPr>
              <w:tabs>
                <w:tab w:val="left" w:pos="9360"/>
              </w:tabs>
              <w:jc w:val="both"/>
              <w:rPr>
                <w:rFonts w:ascii="Arial" w:hAnsi="Arial" w:cs="Arial"/>
                <w:sz w:val="20"/>
                <w:szCs w:val="20"/>
              </w:rPr>
            </w:pPr>
          </w:p>
          <w:p w:rsidR="00432682" w:rsidRDefault="00432682" w:rsidP="00585B8B">
            <w:pPr>
              <w:tabs>
                <w:tab w:val="left" w:pos="9360"/>
              </w:tabs>
              <w:jc w:val="both"/>
              <w:rPr>
                <w:rFonts w:ascii="Arial" w:hAnsi="Arial" w:cs="Arial"/>
                <w:sz w:val="20"/>
                <w:szCs w:val="20"/>
              </w:rPr>
            </w:pPr>
            <w:r w:rsidRPr="00585B8B">
              <w:rPr>
                <w:rFonts w:ascii="Arial" w:hAnsi="Arial" w:cs="Arial"/>
                <w:sz w:val="20"/>
                <w:szCs w:val="20"/>
              </w:rPr>
              <w:t xml:space="preserve">The Chairperson of the PSC has </w:t>
            </w:r>
            <w:r w:rsidR="00585B8B">
              <w:rPr>
                <w:rFonts w:ascii="Arial" w:hAnsi="Arial" w:cs="Arial"/>
                <w:sz w:val="20"/>
                <w:szCs w:val="20"/>
              </w:rPr>
              <w:t>sent</w:t>
            </w:r>
            <w:r w:rsidRPr="00585B8B">
              <w:rPr>
                <w:rFonts w:ascii="Arial" w:hAnsi="Arial" w:cs="Arial"/>
                <w:sz w:val="20"/>
                <w:szCs w:val="20"/>
              </w:rPr>
              <w:t xml:space="preserve"> letters to the Minister and the </w:t>
            </w:r>
            <w:r w:rsidR="00585B8B" w:rsidRPr="00585B8B">
              <w:rPr>
                <w:rFonts w:ascii="Arial" w:hAnsi="Arial" w:cs="Arial"/>
                <w:sz w:val="20"/>
                <w:szCs w:val="20"/>
              </w:rPr>
              <w:t xml:space="preserve">Secretary for Defence </w:t>
            </w:r>
            <w:r w:rsidRPr="00585B8B">
              <w:rPr>
                <w:rFonts w:ascii="Arial" w:hAnsi="Arial" w:cs="Arial"/>
                <w:sz w:val="20"/>
                <w:szCs w:val="20"/>
              </w:rPr>
              <w:t>to schedule an engagement with the Chairperson to address this matter.</w:t>
            </w:r>
            <w:r w:rsidR="00585B8B">
              <w:rPr>
                <w:rFonts w:ascii="Arial" w:hAnsi="Arial" w:cs="Arial"/>
                <w:sz w:val="20"/>
                <w:szCs w:val="20"/>
              </w:rPr>
              <w:t xml:space="preserve"> </w:t>
            </w:r>
          </w:p>
          <w:p w:rsidR="00585B8B" w:rsidRDefault="00585B8B" w:rsidP="00585B8B">
            <w:pPr>
              <w:tabs>
                <w:tab w:val="left" w:pos="9360"/>
              </w:tabs>
              <w:jc w:val="both"/>
              <w:rPr>
                <w:rFonts w:ascii="Arial" w:hAnsi="Arial" w:cs="Arial"/>
                <w:sz w:val="20"/>
                <w:szCs w:val="20"/>
              </w:rPr>
            </w:pPr>
          </w:p>
          <w:p w:rsidR="00585B8B" w:rsidRPr="00585B8B" w:rsidRDefault="00585B8B" w:rsidP="00585B8B">
            <w:pPr>
              <w:tabs>
                <w:tab w:val="left" w:pos="9360"/>
              </w:tabs>
              <w:jc w:val="both"/>
              <w:rPr>
                <w:rFonts w:ascii="Arial" w:hAnsi="Arial" w:cs="Arial"/>
                <w:sz w:val="20"/>
                <w:szCs w:val="20"/>
              </w:rPr>
            </w:pPr>
            <w:r>
              <w:rPr>
                <w:rFonts w:ascii="Arial" w:hAnsi="Arial" w:cs="Arial"/>
                <w:sz w:val="20"/>
                <w:szCs w:val="20"/>
              </w:rPr>
              <w:t xml:space="preserve">A meeting between the Director-General of the PSC and the </w:t>
            </w:r>
            <w:r w:rsidRPr="00585B8B">
              <w:rPr>
                <w:rFonts w:ascii="Arial" w:hAnsi="Arial" w:cs="Arial"/>
                <w:sz w:val="20"/>
                <w:szCs w:val="20"/>
              </w:rPr>
              <w:t>Secretary for Defence</w:t>
            </w:r>
            <w:r>
              <w:rPr>
                <w:rFonts w:ascii="Arial" w:hAnsi="Arial" w:cs="Arial"/>
                <w:sz w:val="20"/>
                <w:szCs w:val="20"/>
              </w:rPr>
              <w:t xml:space="preserve"> has been scheduled for 17 September 2019.</w:t>
            </w:r>
          </w:p>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 xml:space="preserve">The DoD should conduct an assessment of the security and safety needs of the hospital in line with the Minimum Physical Security Standards and the Minimum Information Security Standards. The security features should also be aligned to those accorded to National Key Points. </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DoD supported by the PSC and the Office of the Military Ombudsman should engage National Treasury on the management of transversal contracts and its implications for the 1 Military hospital with regards to the courier service provider to ensure the latter adheres to the service level agreement (SLA).</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 xml:space="preserve">The DoD and South African National Defence Force (SANDF) should consider granting both Human Resources and Financial Delegations to the hospital management for efficient operations. </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Department of Military Veterans should re-assign an official to the hospital to facilitate the interface between the hospital and new ex-combatants.</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DoD and SANDF to review and redesign the organisational structure and service delivery model to ensure that it responds to the mandate of the hospital</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DoD and SANDF should attend to the Human Resources Management and Development issues affecting the hospital, including performance management (PMDS), occupation specific dispensation (OSD), remunerated work outside of the public service (RWOPS) and overtime payment.</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2"/>
              </w:numPr>
              <w:ind w:left="252" w:hanging="270"/>
              <w:jc w:val="both"/>
              <w:rPr>
                <w:rFonts w:ascii="Arial" w:hAnsi="Arial" w:cs="Arial"/>
                <w:sz w:val="20"/>
                <w:szCs w:val="20"/>
              </w:rPr>
            </w:pPr>
            <w:r w:rsidRPr="00585B8B">
              <w:rPr>
                <w:rFonts w:ascii="Arial" w:hAnsi="Arial" w:cs="Arial"/>
                <w:sz w:val="20"/>
                <w:szCs w:val="20"/>
              </w:rPr>
              <w:t>The Department of Public Works (DPW) should provide the PSC and Office of the Military Ombudsman with a report on the delay in finalisation of the RAMP. In this regard, the PSC will request a meeting with the DoD, Public Works and National Treasury.</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Factsheet on the implementation of the performance management and development system (PMDS):</w:t>
            </w:r>
          </w:p>
          <w:p w:rsidR="00432682" w:rsidRPr="00585B8B" w:rsidRDefault="00432682" w:rsidP="00585B8B">
            <w:pPr>
              <w:jc w:val="both"/>
              <w:rPr>
                <w:rFonts w:ascii="Arial" w:hAnsi="Arial" w:cs="Arial"/>
                <w:sz w:val="20"/>
                <w:szCs w:val="20"/>
              </w:rPr>
            </w:pPr>
            <w:r w:rsidRPr="00585B8B">
              <w:rPr>
                <w:rFonts w:ascii="Arial" w:hAnsi="Arial" w:cs="Arial"/>
                <w:sz w:val="20"/>
                <w:szCs w:val="20"/>
              </w:rPr>
              <w:t xml:space="preserve">case study at the Department of Agriculture: Western Cape  </w:t>
            </w:r>
          </w:p>
        </w:tc>
        <w:tc>
          <w:tcPr>
            <w:tcW w:w="1768" w:type="dxa"/>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 xml:space="preserve">Western Cape Department of Agriculture </w:t>
            </w:r>
          </w:p>
        </w:tc>
        <w:tc>
          <w:tcPr>
            <w:tcW w:w="4020" w:type="dxa"/>
          </w:tcPr>
          <w:p w:rsidR="00432682" w:rsidRPr="00585B8B" w:rsidRDefault="00432682" w:rsidP="00585B8B">
            <w:pPr>
              <w:ind w:left="331" w:hanging="331"/>
              <w:jc w:val="both"/>
              <w:rPr>
                <w:rFonts w:ascii="Arial" w:hAnsi="Arial" w:cs="Arial"/>
                <w:sz w:val="20"/>
                <w:szCs w:val="20"/>
              </w:rPr>
            </w:pPr>
            <w:r w:rsidRPr="00585B8B">
              <w:rPr>
                <w:rFonts w:ascii="Arial" w:hAnsi="Arial" w:cs="Arial"/>
                <w:sz w:val="20"/>
                <w:szCs w:val="20"/>
              </w:rPr>
              <w:t>1.</w:t>
            </w:r>
            <w:r w:rsidRPr="00585B8B">
              <w:rPr>
                <w:rFonts w:ascii="Arial" w:hAnsi="Arial" w:cs="Arial"/>
                <w:sz w:val="20"/>
                <w:szCs w:val="20"/>
              </w:rPr>
              <w:tab/>
              <w:t>Ensure that Performance Agreement (PA), reviews, and assessment documents are initialled and signed.  The signing of the PAs is important for authenticity and validity as these documents form the legal basis for performance contracting.</w:t>
            </w:r>
          </w:p>
        </w:tc>
        <w:tc>
          <w:tcPr>
            <w:tcW w:w="2430" w:type="dxa"/>
            <w:gridSpan w:val="2"/>
            <w:vMerge w:val="restart"/>
          </w:tcPr>
          <w:p w:rsidR="00432682" w:rsidRPr="00585B8B" w:rsidRDefault="00432682" w:rsidP="00585B8B">
            <w:pPr>
              <w:rPr>
                <w:rFonts w:ascii="Arial" w:hAnsi="Arial" w:cs="Arial"/>
                <w:b/>
                <w:sz w:val="20"/>
                <w:szCs w:val="20"/>
              </w:rPr>
            </w:pPr>
            <w:r w:rsidRPr="00585B8B">
              <w:rPr>
                <w:rFonts w:ascii="Arial" w:hAnsi="Arial" w:cs="Arial"/>
                <w:b/>
                <w:sz w:val="20"/>
                <w:szCs w:val="20"/>
              </w:rPr>
              <w:t>Implementation of all recommendations is in progress</w:t>
            </w:r>
          </w:p>
        </w:tc>
        <w:tc>
          <w:tcPr>
            <w:tcW w:w="3870" w:type="dxa"/>
            <w:gridSpan w:val="2"/>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 xml:space="preserve">During February 2019, the PSC engaged the HoD of Agriculture on the findings and recommendations. The HoD accepted all the recommendations. </w:t>
            </w: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b/>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ind w:left="331" w:hanging="331"/>
              <w:jc w:val="both"/>
              <w:rPr>
                <w:rFonts w:ascii="Arial" w:hAnsi="Arial" w:cs="Arial"/>
                <w:sz w:val="20"/>
                <w:szCs w:val="20"/>
              </w:rPr>
            </w:pPr>
            <w:r w:rsidRPr="00585B8B">
              <w:rPr>
                <w:rFonts w:ascii="Arial" w:hAnsi="Arial" w:cs="Arial"/>
                <w:sz w:val="20"/>
                <w:szCs w:val="20"/>
              </w:rPr>
              <w:t>2.</w:t>
            </w:r>
            <w:r w:rsidRPr="00585B8B">
              <w:rPr>
                <w:rFonts w:ascii="Arial" w:hAnsi="Arial" w:cs="Arial"/>
                <w:sz w:val="20"/>
                <w:szCs w:val="20"/>
              </w:rPr>
              <w:tab/>
              <w:t>Ensure on-going feedback and coaching in conducting of reviews.  The PERMIS (computerised) system can restrict the personal interaction between supervisor and employee as information is signed-off on the system, so supervisors should make a concerted effort to sufficiently interact with their supervisees during the review process.</w:t>
            </w:r>
          </w:p>
        </w:tc>
        <w:tc>
          <w:tcPr>
            <w:tcW w:w="2430" w:type="dxa"/>
            <w:gridSpan w:val="2"/>
            <w:vMerge/>
          </w:tcPr>
          <w:p w:rsidR="00432682" w:rsidRPr="00585B8B" w:rsidRDefault="00432682" w:rsidP="00585B8B">
            <w:pPr>
              <w:rPr>
                <w:rFonts w:ascii="Arial" w:hAnsi="Arial" w:cs="Arial"/>
                <w:b/>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ind w:left="331" w:hanging="331"/>
              <w:jc w:val="both"/>
              <w:rPr>
                <w:rFonts w:ascii="Arial" w:hAnsi="Arial" w:cs="Arial"/>
                <w:sz w:val="20"/>
                <w:szCs w:val="20"/>
              </w:rPr>
            </w:pPr>
            <w:r w:rsidRPr="00585B8B">
              <w:rPr>
                <w:rFonts w:ascii="Arial" w:hAnsi="Arial" w:cs="Arial"/>
                <w:sz w:val="20"/>
                <w:szCs w:val="20"/>
              </w:rPr>
              <w:t>3.</w:t>
            </w:r>
            <w:r w:rsidRPr="00585B8B">
              <w:rPr>
                <w:rFonts w:ascii="Arial" w:hAnsi="Arial" w:cs="Arial"/>
                <w:sz w:val="20"/>
                <w:szCs w:val="20"/>
              </w:rPr>
              <w:tab/>
              <w:t xml:space="preserve">Ensure that the performance of employees is evaluated fairly and consistently evaluated across the Department.  Lower level employees who do not have computers indicated that their performance assessment documents are loaded on the system by their supervisor. They are not always sure if the right information is captured.  This may create a problem when individual ratings agreed upon between the employee and her/his supervisor is not correctly captured.  </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3"/>
              </w:numPr>
              <w:ind w:left="331" w:hanging="284"/>
              <w:jc w:val="both"/>
              <w:rPr>
                <w:rFonts w:ascii="Arial" w:hAnsi="Arial" w:cs="Arial"/>
                <w:sz w:val="20"/>
                <w:szCs w:val="20"/>
              </w:rPr>
            </w:pPr>
            <w:r w:rsidRPr="00585B8B">
              <w:rPr>
                <w:rFonts w:ascii="Arial" w:hAnsi="Arial" w:cs="Arial"/>
                <w:sz w:val="20"/>
                <w:szCs w:val="20"/>
              </w:rPr>
              <w:t xml:space="preserve">Ensure that there is a common understanding of the standards required as well as the unit of measurement that should be linked to posts where similar outputs are required.  Farmworkers usually work in groups and the assessments do not allow for a group/team award.  A training session should be held with these employees to create a shared vision of the standards required for their post.  </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3"/>
              </w:numPr>
              <w:ind w:left="331" w:hanging="331"/>
              <w:jc w:val="both"/>
              <w:rPr>
                <w:rFonts w:ascii="Arial" w:hAnsi="Arial" w:cs="Arial"/>
                <w:sz w:val="20"/>
                <w:szCs w:val="20"/>
              </w:rPr>
            </w:pPr>
            <w:r w:rsidRPr="00585B8B">
              <w:rPr>
                <w:rFonts w:ascii="Arial" w:hAnsi="Arial" w:cs="Arial"/>
                <w:sz w:val="20"/>
                <w:szCs w:val="20"/>
              </w:rPr>
              <w:t>Ensure that development needs are completed.  Most of the employees did not complete the Personal Development Plan.  Where employees lack knowledge and skills relevant to their work it is important that gaps are identified and training needs captured, and training programmes be implemented</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3"/>
              </w:numPr>
              <w:ind w:left="331" w:hanging="284"/>
              <w:jc w:val="both"/>
              <w:rPr>
                <w:rFonts w:ascii="Arial" w:hAnsi="Arial" w:cs="Arial"/>
                <w:sz w:val="20"/>
                <w:szCs w:val="20"/>
              </w:rPr>
            </w:pPr>
            <w:r w:rsidRPr="00585B8B">
              <w:rPr>
                <w:rFonts w:ascii="Arial" w:hAnsi="Arial" w:cs="Arial"/>
                <w:sz w:val="20"/>
                <w:szCs w:val="20"/>
              </w:rPr>
              <w:t xml:space="preserve">Employees should feel empowered to influence the content relating to targets, quality of delivery, and resource allocation, as examples. A first step could be that employees are encouraged to formulate the performance statements and descriptions themselves. This is perhaps not universally applied for good reason. However, it does engender greater ownership of the agreement.  </w:t>
            </w:r>
          </w:p>
        </w:tc>
        <w:tc>
          <w:tcPr>
            <w:tcW w:w="2430" w:type="dxa"/>
            <w:gridSpan w:val="2"/>
            <w:vMerge/>
          </w:tcPr>
          <w:p w:rsidR="00432682" w:rsidRPr="00585B8B" w:rsidRDefault="00432682" w:rsidP="00585B8B">
            <w:pPr>
              <w:jc w:val="both"/>
              <w:rPr>
                <w:rFonts w:ascii="Arial" w:hAnsi="Arial" w:cs="Arial"/>
                <w:sz w:val="20"/>
                <w:szCs w:val="20"/>
              </w:rPr>
            </w:pPr>
          </w:p>
        </w:tc>
        <w:tc>
          <w:tcPr>
            <w:tcW w:w="3870" w:type="dxa"/>
            <w:gridSpan w:val="2"/>
            <w:vMerge/>
          </w:tcPr>
          <w:p w:rsidR="00432682" w:rsidRPr="00585B8B" w:rsidRDefault="00432682" w:rsidP="00585B8B">
            <w:pPr>
              <w:jc w:val="both"/>
              <w:rPr>
                <w:rFonts w:ascii="Arial" w:hAnsi="Arial" w:cs="Arial"/>
                <w:sz w:val="20"/>
                <w:szCs w:val="20"/>
              </w:rPr>
            </w:pPr>
          </w:p>
        </w:tc>
      </w:tr>
      <w:tr w:rsidR="00F32624" w:rsidRPr="00585B8B" w:rsidTr="00585B8B">
        <w:trPr>
          <w:gridAfter w:val="1"/>
          <w:wAfter w:w="74" w:type="dxa"/>
        </w:trPr>
        <w:tc>
          <w:tcPr>
            <w:tcW w:w="2042" w:type="dxa"/>
            <w:vMerge w:val="restart"/>
          </w:tcPr>
          <w:p w:rsidR="00F32624" w:rsidRPr="00585B8B" w:rsidRDefault="00F32624" w:rsidP="00585B8B">
            <w:pPr>
              <w:jc w:val="both"/>
              <w:rPr>
                <w:rFonts w:ascii="Arial" w:hAnsi="Arial" w:cs="Arial"/>
                <w:sz w:val="20"/>
                <w:szCs w:val="20"/>
              </w:rPr>
            </w:pPr>
            <w:r w:rsidRPr="00585B8B">
              <w:rPr>
                <w:rFonts w:ascii="Arial" w:hAnsi="Arial" w:cs="Arial"/>
                <w:sz w:val="20"/>
                <w:szCs w:val="20"/>
              </w:rPr>
              <w:t xml:space="preserve">Non-Payment of Suppliers within the prescribed 30 days by National Departments </w:t>
            </w:r>
          </w:p>
        </w:tc>
        <w:tc>
          <w:tcPr>
            <w:tcW w:w="1768" w:type="dxa"/>
            <w:vMerge w:val="restart"/>
            <w:shd w:val="clear" w:color="auto" w:fill="FFFFFF" w:themeFill="background1"/>
          </w:tcPr>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Rural Development and Land Reform</w:t>
            </w:r>
          </w:p>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Social Development</w:t>
            </w:r>
          </w:p>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Public Works</w:t>
            </w:r>
          </w:p>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Water and Sanitation</w:t>
            </w:r>
          </w:p>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 xml:space="preserve">Police </w:t>
            </w:r>
          </w:p>
          <w:p w:rsidR="00F32624" w:rsidRPr="00585B8B" w:rsidRDefault="00F32624" w:rsidP="00585B8B">
            <w:pPr>
              <w:pStyle w:val="ListParagraph"/>
              <w:numPr>
                <w:ilvl w:val="0"/>
                <w:numId w:val="9"/>
              </w:numPr>
              <w:ind w:left="143" w:hanging="142"/>
              <w:jc w:val="both"/>
              <w:rPr>
                <w:rFonts w:ascii="Arial" w:hAnsi="Arial" w:cs="Arial"/>
                <w:sz w:val="20"/>
                <w:szCs w:val="20"/>
              </w:rPr>
            </w:pPr>
            <w:r w:rsidRPr="00585B8B">
              <w:rPr>
                <w:rFonts w:ascii="Arial" w:hAnsi="Arial" w:cs="Arial"/>
                <w:sz w:val="20"/>
                <w:szCs w:val="20"/>
              </w:rPr>
              <w:t xml:space="preserve">Cooperative Governance </w:t>
            </w:r>
          </w:p>
        </w:tc>
        <w:tc>
          <w:tcPr>
            <w:tcW w:w="4020" w:type="dxa"/>
          </w:tcPr>
          <w:p w:rsidR="00F32624" w:rsidRPr="00585B8B" w:rsidRDefault="00F32624" w:rsidP="00585B8B">
            <w:pPr>
              <w:pStyle w:val="ListParagraph"/>
              <w:numPr>
                <w:ilvl w:val="0"/>
                <w:numId w:val="14"/>
              </w:numPr>
              <w:ind w:left="331" w:hanging="284"/>
              <w:jc w:val="both"/>
              <w:rPr>
                <w:rFonts w:ascii="Arial" w:hAnsi="Arial" w:cs="Arial"/>
                <w:sz w:val="20"/>
                <w:szCs w:val="20"/>
              </w:rPr>
            </w:pPr>
            <w:r w:rsidRPr="00585B8B">
              <w:rPr>
                <w:rFonts w:ascii="Arial" w:hAnsi="Arial" w:cs="Arial"/>
                <w:sz w:val="20"/>
                <w:szCs w:val="20"/>
              </w:rPr>
              <w:t>Put systems and internal controls in place to adhere to the PFMA regulations to pay invoices within 30 days of receipt.</w:t>
            </w:r>
          </w:p>
        </w:tc>
        <w:tc>
          <w:tcPr>
            <w:tcW w:w="2430" w:type="dxa"/>
            <w:gridSpan w:val="2"/>
            <w:vMerge w:val="restart"/>
          </w:tcPr>
          <w:p w:rsidR="00F32624" w:rsidRPr="00585B8B" w:rsidRDefault="00DE501E" w:rsidP="00585B8B">
            <w:pPr>
              <w:jc w:val="both"/>
              <w:rPr>
                <w:rFonts w:ascii="Arial" w:hAnsi="Arial" w:cs="Arial"/>
                <w:b/>
                <w:sz w:val="20"/>
                <w:szCs w:val="20"/>
              </w:rPr>
            </w:pPr>
            <w:r w:rsidRPr="00585B8B">
              <w:rPr>
                <w:rFonts w:ascii="Arial" w:hAnsi="Arial" w:cs="Arial"/>
                <w:b/>
                <w:sz w:val="20"/>
                <w:szCs w:val="20"/>
              </w:rPr>
              <w:t>Partly</w:t>
            </w:r>
            <w:r w:rsidR="00F32624" w:rsidRPr="00585B8B">
              <w:rPr>
                <w:rFonts w:ascii="Arial" w:hAnsi="Arial" w:cs="Arial"/>
                <w:b/>
                <w:sz w:val="20"/>
                <w:szCs w:val="20"/>
              </w:rPr>
              <w:t xml:space="preserve"> implemented </w:t>
            </w:r>
          </w:p>
          <w:p w:rsidR="00F32624" w:rsidRPr="00585B8B" w:rsidRDefault="00F32624" w:rsidP="00585B8B">
            <w:pPr>
              <w:jc w:val="both"/>
              <w:rPr>
                <w:rFonts w:ascii="Arial" w:hAnsi="Arial" w:cs="Arial"/>
                <w:sz w:val="20"/>
                <w:szCs w:val="20"/>
              </w:rPr>
            </w:pPr>
          </w:p>
          <w:p w:rsidR="00F32624" w:rsidRPr="00585B8B" w:rsidRDefault="00F32624" w:rsidP="00585B8B">
            <w:pPr>
              <w:jc w:val="both"/>
              <w:rPr>
                <w:rFonts w:ascii="Arial" w:hAnsi="Arial" w:cs="Arial"/>
                <w:sz w:val="20"/>
                <w:szCs w:val="20"/>
              </w:rPr>
            </w:pPr>
            <w:r w:rsidRPr="00585B8B">
              <w:rPr>
                <w:rFonts w:ascii="Arial" w:hAnsi="Arial" w:cs="Arial"/>
                <w:sz w:val="20"/>
                <w:szCs w:val="20"/>
              </w:rPr>
              <w:t>Overall, the departmental performance has fluctuated from quarter to quarter.</w:t>
            </w:r>
          </w:p>
          <w:p w:rsidR="00F32624" w:rsidRPr="00585B8B" w:rsidRDefault="00F32624" w:rsidP="00585B8B">
            <w:pPr>
              <w:jc w:val="both"/>
              <w:rPr>
                <w:rFonts w:ascii="Arial" w:hAnsi="Arial" w:cs="Arial"/>
                <w:sz w:val="20"/>
                <w:szCs w:val="20"/>
              </w:rPr>
            </w:pPr>
          </w:p>
          <w:p w:rsidR="00F32624" w:rsidRPr="00585B8B" w:rsidRDefault="00F32624" w:rsidP="00585B8B">
            <w:pPr>
              <w:jc w:val="both"/>
              <w:rPr>
                <w:rFonts w:ascii="Arial" w:hAnsi="Arial" w:cs="Arial"/>
                <w:sz w:val="20"/>
                <w:szCs w:val="20"/>
              </w:rPr>
            </w:pPr>
            <w:r w:rsidRPr="00585B8B">
              <w:rPr>
                <w:rFonts w:ascii="Arial" w:hAnsi="Arial" w:cs="Arial"/>
                <w:sz w:val="20"/>
                <w:szCs w:val="20"/>
              </w:rPr>
              <w:t>Some departments continued to demonstrate a pattern of poor performance in the 30-day payment of invoices.</w:t>
            </w:r>
          </w:p>
        </w:tc>
        <w:tc>
          <w:tcPr>
            <w:tcW w:w="3870" w:type="dxa"/>
            <w:gridSpan w:val="2"/>
            <w:vMerge w:val="restart"/>
          </w:tcPr>
          <w:p w:rsidR="00F32624" w:rsidRPr="00585B8B" w:rsidRDefault="00F32624" w:rsidP="00585B8B">
            <w:pPr>
              <w:jc w:val="both"/>
              <w:rPr>
                <w:rFonts w:ascii="Arial" w:hAnsi="Arial" w:cs="Arial"/>
                <w:sz w:val="20"/>
                <w:szCs w:val="20"/>
              </w:rPr>
            </w:pPr>
            <w:r w:rsidRPr="00585B8B">
              <w:rPr>
                <w:rFonts w:ascii="Arial" w:hAnsi="Arial" w:cs="Arial"/>
                <w:sz w:val="20"/>
                <w:szCs w:val="20"/>
              </w:rPr>
              <w:t xml:space="preserve">The PSC held engagements with the HODs of the mentioned departments. </w:t>
            </w:r>
          </w:p>
          <w:p w:rsidR="00F32624" w:rsidRPr="00585B8B" w:rsidRDefault="00F32624" w:rsidP="00585B8B">
            <w:pPr>
              <w:jc w:val="both"/>
              <w:rPr>
                <w:rFonts w:ascii="Arial" w:hAnsi="Arial" w:cs="Arial"/>
                <w:sz w:val="20"/>
                <w:szCs w:val="20"/>
              </w:rPr>
            </w:pPr>
          </w:p>
          <w:p w:rsidR="00F32624" w:rsidRPr="00585B8B" w:rsidRDefault="00F32624" w:rsidP="00585B8B">
            <w:pPr>
              <w:jc w:val="both"/>
              <w:rPr>
                <w:rFonts w:ascii="Arial" w:hAnsi="Arial" w:cs="Arial"/>
                <w:sz w:val="20"/>
                <w:szCs w:val="20"/>
              </w:rPr>
            </w:pPr>
            <w:r w:rsidRPr="00585B8B">
              <w:rPr>
                <w:rFonts w:ascii="Arial" w:hAnsi="Arial" w:cs="Arial"/>
                <w:sz w:val="20"/>
                <w:szCs w:val="20"/>
              </w:rPr>
              <w:t>Follow-up letters indicating dissatisfaction with the recurring bahaviour of defaulting on payments were further issued during the week of 13 and 14 June 2019.</w:t>
            </w:r>
          </w:p>
        </w:tc>
      </w:tr>
      <w:tr w:rsidR="00F32624" w:rsidRPr="00585B8B" w:rsidTr="00585B8B">
        <w:trPr>
          <w:gridAfter w:val="1"/>
          <w:wAfter w:w="74" w:type="dxa"/>
        </w:trPr>
        <w:tc>
          <w:tcPr>
            <w:tcW w:w="2042" w:type="dxa"/>
            <w:vMerge/>
          </w:tcPr>
          <w:p w:rsidR="00F32624" w:rsidRPr="00585B8B" w:rsidRDefault="00F32624" w:rsidP="00585B8B">
            <w:pPr>
              <w:jc w:val="both"/>
              <w:rPr>
                <w:rFonts w:ascii="Arial" w:hAnsi="Arial" w:cs="Arial"/>
                <w:sz w:val="20"/>
                <w:szCs w:val="20"/>
              </w:rPr>
            </w:pPr>
          </w:p>
        </w:tc>
        <w:tc>
          <w:tcPr>
            <w:tcW w:w="1768" w:type="dxa"/>
            <w:vMerge/>
            <w:shd w:val="clear" w:color="auto" w:fill="FFFFFF" w:themeFill="background1"/>
          </w:tcPr>
          <w:p w:rsidR="00F32624" w:rsidRPr="00585B8B" w:rsidRDefault="00F32624" w:rsidP="00585B8B">
            <w:pPr>
              <w:jc w:val="both"/>
              <w:rPr>
                <w:rFonts w:ascii="Arial" w:hAnsi="Arial" w:cs="Arial"/>
                <w:sz w:val="20"/>
                <w:szCs w:val="20"/>
              </w:rPr>
            </w:pPr>
          </w:p>
        </w:tc>
        <w:tc>
          <w:tcPr>
            <w:tcW w:w="4020" w:type="dxa"/>
          </w:tcPr>
          <w:p w:rsidR="00F32624" w:rsidRPr="00585B8B" w:rsidRDefault="00F32624" w:rsidP="00585B8B">
            <w:pPr>
              <w:pStyle w:val="ListParagraph"/>
              <w:numPr>
                <w:ilvl w:val="0"/>
                <w:numId w:val="14"/>
              </w:numPr>
              <w:ind w:left="331" w:hanging="284"/>
              <w:jc w:val="both"/>
              <w:rPr>
                <w:rFonts w:ascii="Arial" w:hAnsi="Arial" w:cs="Arial"/>
                <w:sz w:val="20"/>
                <w:szCs w:val="20"/>
              </w:rPr>
            </w:pPr>
            <w:r w:rsidRPr="00585B8B">
              <w:rPr>
                <w:rFonts w:ascii="Arial" w:hAnsi="Arial" w:cs="Arial"/>
                <w:sz w:val="20"/>
                <w:szCs w:val="20"/>
              </w:rPr>
              <w:t xml:space="preserve">Apply consequences management where officials were found to have neglected their duties of ensuring that invoices are paid on time. </w:t>
            </w:r>
          </w:p>
        </w:tc>
        <w:tc>
          <w:tcPr>
            <w:tcW w:w="2430" w:type="dxa"/>
            <w:gridSpan w:val="2"/>
            <w:vMerge/>
          </w:tcPr>
          <w:p w:rsidR="00F32624" w:rsidRPr="00585B8B" w:rsidRDefault="00F32624" w:rsidP="00585B8B">
            <w:pPr>
              <w:jc w:val="both"/>
              <w:rPr>
                <w:rFonts w:ascii="Arial" w:hAnsi="Arial" w:cs="Arial"/>
                <w:sz w:val="20"/>
                <w:szCs w:val="20"/>
              </w:rPr>
            </w:pPr>
          </w:p>
        </w:tc>
        <w:tc>
          <w:tcPr>
            <w:tcW w:w="3870" w:type="dxa"/>
            <w:gridSpan w:val="2"/>
            <w:vMerge/>
          </w:tcPr>
          <w:p w:rsidR="00F32624" w:rsidRPr="00585B8B" w:rsidRDefault="00F32624" w:rsidP="00585B8B">
            <w:pPr>
              <w:jc w:val="both"/>
              <w:rPr>
                <w:rFonts w:ascii="Arial" w:hAnsi="Arial" w:cs="Arial"/>
                <w:sz w:val="20"/>
                <w:szCs w:val="20"/>
              </w:rPr>
            </w:pPr>
          </w:p>
        </w:tc>
      </w:tr>
      <w:tr w:rsidR="00432682" w:rsidRPr="00585B8B" w:rsidTr="00585B8B">
        <w:trPr>
          <w:gridAfter w:val="1"/>
          <w:wAfter w:w="74" w:type="dxa"/>
        </w:trPr>
        <w:tc>
          <w:tcPr>
            <w:tcW w:w="2042" w:type="dxa"/>
            <w:vMerge w:val="restart"/>
          </w:tcPr>
          <w:p w:rsidR="00432682" w:rsidRPr="00585B8B" w:rsidRDefault="00432682" w:rsidP="00585B8B">
            <w:pPr>
              <w:jc w:val="both"/>
              <w:rPr>
                <w:rFonts w:ascii="Arial" w:hAnsi="Arial" w:cs="Arial"/>
                <w:sz w:val="20"/>
                <w:szCs w:val="20"/>
              </w:rPr>
            </w:pPr>
            <w:r w:rsidRPr="00585B8B">
              <w:rPr>
                <w:rFonts w:ascii="Arial" w:hAnsi="Arial" w:cs="Arial"/>
                <w:sz w:val="20"/>
                <w:szCs w:val="20"/>
              </w:rPr>
              <w:t>Evaluation of the department against the nine principles in section 195 of the Constitution</w:t>
            </w:r>
          </w:p>
        </w:tc>
        <w:tc>
          <w:tcPr>
            <w:tcW w:w="1768" w:type="dxa"/>
            <w:vMerge w:val="restart"/>
            <w:shd w:val="clear" w:color="auto" w:fill="FFFFFF" w:themeFill="background1"/>
          </w:tcPr>
          <w:p w:rsidR="00432682" w:rsidRPr="00585B8B" w:rsidRDefault="00432682" w:rsidP="00585B8B">
            <w:pPr>
              <w:jc w:val="both"/>
              <w:rPr>
                <w:rFonts w:ascii="Arial" w:hAnsi="Arial" w:cs="Arial"/>
                <w:sz w:val="20"/>
                <w:szCs w:val="20"/>
              </w:rPr>
            </w:pPr>
            <w:r w:rsidRPr="00585B8B">
              <w:rPr>
                <w:rFonts w:ascii="Arial" w:hAnsi="Arial" w:cs="Arial"/>
                <w:sz w:val="20"/>
                <w:szCs w:val="20"/>
              </w:rPr>
              <w:t>Social Development, Gauteng</w:t>
            </w:r>
          </w:p>
        </w:tc>
        <w:tc>
          <w:tcPr>
            <w:tcW w:w="4020" w:type="dxa"/>
          </w:tcPr>
          <w:p w:rsidR="00432682" w:rsidRPr="00585B8B" w:rsidRDefault="00432682" w:rsidP="00585B8B">
            <w:pPr>
              <w:pStyle w:val="ListParagraph"/>
              <w:numPr>
                <w:ilvl w:val="0"/>
                <w:numId w:val="15"/>
              </w:numPr>
              <w:ind w:left="331" w:hanging="284"/>
              <w:jc w:val="both"/>
              <w:rPr>
                <w:rFonts w:ascii="Arial" w:hAnsi="Arial" w:cs="Arial"/>
                <w:sz w:val="20"/>
                <w:szCs w:val="20"/>
              </w:rPr>
            </w:pPr>
            <w:r w:rsidRPr="00585B8B">
              <w:rPr>
                <w:rFonts w:ascii="Arial" w:hAnsi="Arial" w:cs="Arial"/>
                <w:sz w:val="20"/>
                <w:szCs w:val="20"/>
              </w:rPr>
              <w:t>The Head of Department need to put measures in place to ensure that disciplinary hearings are held within 60 days as prescribed in Public Service Coordinating Bargaining Council (PSCBC) Resolution 1 of 2003.</w:t>
            </w:r>
          </w:p>
          <w:p w:rsidR="00432682" w:rsidRPr="00585B8B" w:rsidRDefault="00432682" w:rsidP="00585B8B">
            <w:pPr>
              <w:jc w:val="both"/>
              <w:rPr>
                <w:rFonts w:ascii="Arial" w:hAnsi="Arial" w:cs="Arial"/>
                <w:sz w:val="20"/>
                <w:szCs w:val="20"/>
              </w:rPr>
            </w:pPr>
          </w:p>
        </w:tc>
        <w:tc>
          <w:tcPr>
            <w:tcW w:w="2430" w:type="dxa"/>
            <w:gridSpan w:val="2"/>
          </w:tcPr>
          <w:p w:rsidR="00432682" w:rsidRPr="00585B8B" w:rsidRDefault="00432682" w:rsidP="00585B8B">
            <w:pPr>
              <w:ind w:right="-34"/>
              <w:jc w:val="both"/>
              <w:rPr>
                <w:rFonts w:ascii="Arial" w:eastAsia="Calibri" w:hAnsi="Arial" w:cs="Arial"/>
                <w:b/>
                <w:sz w:val="20"/>
                <w:szCs w:val="20"/>
              </w:rPr>
            </w:pPr>
            <w:r w:rsidRPr="00585B8B">
              <w:rPr>
                <w:rFonts w:ascii="Arial" w:eastAsia="Calibri" w:hAnsi="Arial" w:cs="Arial"/>
                <w:b/>
                <w:sz w:val="20"/>
                <w:szCs w:val="20"/>
              </w:rPr>
              <w:t>Implemented</w:t>
            </w:r>
          </w:p>
          <w:p w:rsidR="00432682" w:rsidRPr="00585B8B" w:rsidRDefault="00432682" w:rsidP="00585B8B">
            <w:pPr>
              <w:ind w:right="-34"/>
              <w:jc w:val="both"/>
              <w:rPr>
                <w:rFonts w:ascii="Arial" w:eastAsia="Calibri" w:hAnsi="Arial" w:cs="Arial"/>
                <w:sz w:val="20"/>
                <w:szCs w:val="20"/>
              </w:rPr>
            </w:pPr>
            <w:r w:rsidRPr="00585B8B">
              <w:rPr>
                <w:rFonts w:ascii="Arial" w:eastAsia="Calibri" w:hAnsi="Arial" w:cs="Arial"/>
                <w:sz w:val="20"/>
                <w:szCs w:val="20"/>
              </w:rPr>
              <w:t xml:space="preserve">For the 2017/18 financial year the Department reported zero in terms of disciplinary hearings which were held after 60 days, meaning that the measures have been put in place to improve the management of labour relations. The issue of labour relations has been prioritised in the province since most departments are battling with it, particularly resolution of the cases in time. </w:t>
            </w:r>
          </w:p>
        </w:tc>
        <w:tc>
          <w:tcPr>
            <w:tcW w:w="3870" w:type="dxa"/>
            <w:gridSpan w:val="2"/>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shd w:val="clear" w:color="auto" w:fill="FFFFFF" w:themeFill="background1"/>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5"/>
              </w:numPr>
              <w:ind w:left="331" w:hanging="284"/>
              <w:jc w:val="both"/>
              <w:rPr>
                <w:rFonts w:ascii="Arial" w:hAnsi="Arial" w:cs="Arial"/>
                <w:sz w:val="20"/>
                <w:szCs w:val="20"/>
              </w:rPr>
            </w:pPr>
            <w:r w:rsidRPr="00585B8B">
              <w:rPr>
                <w:rFonts w:ascii="Arial" w:hAnsi="Arial" w:cs="Arial"/>
                <w:sz w:val="20"/>
                <w:szCs w:val="20"/>
              </w:rPr>
              <w:t>The Head of Department need to produce and publish citizens’ annual reports on the departmental website annually.</w:t>
            </w:r>
          </w:p>
          <w:p w:rsidR="00432682" w:rsidRPr="00585B8B" w:rsidRDefault="00432682" w:rsidP="00585B8B">
            <w:pPr>
              <w:jc w:val="both"/>
              <w:rPr>
                <w:rFonts w:ascii="Arial" w:hAnsi="Arial" w:cs="Arial"/>
                <w:sz w:val="20"/>
                <w:szCs w:val="20"/>
              </w:rPr>
            </w:pPr>
          </w:p>
        </w:tc>
        <w:tc>
          <w:tcPr>
            <w:tcW w:w="2430" w:type="dxa"/>
            <w:gridSpan w:val="2"/>
          </w:tcPr>
          <w:p w:rsidR="00432682" w:rsidRPr="00585B8B" w:rsidRDefault="00432682" w:rsidP="00585B8B">
            <w:pPr>
              <w:jc w:val="both"/>
              <w:rPr>
                <w:rFonts w:ascii="Arial" w:hAnsi="Arial" w:cs="Arial"/>
                <w:b/>
                <w:sz w:val="20"/>
                <w:szCs w:val="20"/>
              </w:rPr>
            </w:pPr>
            <w:r w:rsidRPr="00585B8B">
              <w:rPr>
                <w:rFonts w:ascii="Arial" w:hAnsi="Arial" w:cs="Arial"/>
                <w:b/>
                <w:sz w:val="20"/>
                <w:szCs w:val="20"/>
              </w:rPr>
              <w:t>Not implemented</w:t>
            </w:r>
          </w:p>
          <w:p w:rsidR="00432682" w:rsidRPr="00585B8B" w:rsidRDefault="00432682" w:rsidP="00585B8B">
            <w:pPr>
              <w:jc w:val="both"/>
              <w:rPr>
                <w:rFonts w:ascii="Arial" w:hAnsi="Arial" w:cs="Arial"/>
                <w:sz w:val="20"/>
                <w:szCs w:val="20"/>
              </w:rPr>
            </w:pPr>
            <w:r w:rsidRPr="00585B8B">
              <w:rPr>
                <w:rFonts w:ascii="Arial" w:hAnsi="Arial" w:cs="Arial"/>
                <w:sz w:val="20"/>
                <w:szCs w:val="20"/>
              </w:rPr>
              <w:t xml:space="preserve">There was no improvement, during the 2017/18 financial year because the </w:t>
            </w:r>
            <w:r w:rsidR="00585B8B">
              <w:rPr>
                <w:rFonts w:ascii="Arial" w:hAnsi="Arial" w:cs="Arial"/>
                <w:sz w:val="20"/>
                <w:szCs w:val="20"/>
              </w:rPr>
              <w:t>D</w:t>
            </w:r>
            <w:r w:rsidRPr="00585B8B">
              <w:rPr>
                <w:rFonts w:ascii="Arial" w:hAnsi="Arial" w:cs="Arial"/>
                <w:sz w:val="20"/>
                <w:szCs w:val="20"/>
              </w:rPr>
              <w:t>epartment still had no annual citizens’ report published and posted on its departmental website.</w:t>
            </w:r>
          </w:p>
        </w:tc>
        <w:tc>
          <w:tcPr>
            <w:tcW w:w="3870" w:type="dxa"/>
            <w:gridSpan w:val="2"/>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shd w:val="clear" w:color="auto" w:fill="FFFFFF" w:themeFill="background1"/>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5"/>
              </w:numPr>
              <w:ind w:left="331" w:right="56" w:hanging="284"/>
              <w:jc w:val="both"/>
              <w:rPr>
                <w:rFonts w:ascii="Arial" w:hAnsi="Arial" w:cs="Arial"/>
                <w:sz w:val="20"/>
                <w:szCs w:val="20"/>
              </w:rPr>
            </w:pPr>
            <w:r w:rsidRPr="00585B8B">
              <w:rPr>
                <w:rFonts w:ascii="Arial" w:hAnsi="Arial" w:cs="Arial"/>
                <w:sz w:val="20"/>
                <w:szCs w:val="20"/>
              </w:rPr>
              <w:t>The Head of Department needs to make sure that all the strategic objectives have set targets.</w:t>
            </w:r>
          </w:p>
          <w:p w:rsidR="00432682" w:rsidRPr="00585B8B" w:rsidRDefault="00432682" w:rsidP="00585B8B">
            <w:pPr>
              <w:jc w:val="both"/>
              <w:rPr>
                <w:rFonts w:ascii="Arial" w:hAnsi="Arial" w:cs="Arial"/>
                <w:sz w:val="20"/>
                <w:szCs w:val="20"/>
              </w:rPr>
            </w:pPr>
          </w:p>
        </w:tc>
        <w:tc>
          <w:tcPr>
            <w:tcW w:w="2430" w:type="dxa"/>
            <w:gridSpan w:val="2"/>
          </w:tcPr>
          <w:p w:rsidR="00432682" w:rsidRPr="00585B8B" w:rsidRDefault="00432682" w:rsidP="00585B8B">
            <w:pPr>
              <w:jc w:val="both"/>
              <w:rPr>
                <w:rFonts w:ascii="Arial" w:hAnsi="Arial" w:cs="Arial"/>
                <w:b/>
                <w:sz w:val="20"/>
                <w:szCs w:val="20"/>
              </w:rPr>
            </w:pPr>
            <w:r w:rsidRPr="00585B8B">
              <w:rPr>
                <w:rFonts w:ascii="Arial" w:hAnsi="Arial" w:cs="Arial"/>
                <w:b/>
                <w:sz w:val="20"/>
                <w:szCs w:val="20"/>
              </w:rPr>
              <w:t>To be implemented</w:t>
            </w:r>
          </w:p>
          <w:p w:rsidR="00432682" w:rsidRPr="00585B8B" w:rsidRDefault="00432682" w:rsidP="00585B8B">
            <w:pPr>
              <w:jc w:val="both"/>
              <w:rPr>
                <w:rFonts w:ascii="Arial" w:hAnsi="Arial" w:cs="Arial"/>
                <w:sz w:val="20"/>
                <w:szCs w:val="20"/>
              </w:rPr>
            </w:pPr>
            <w:r w:rsidRPr="00585B8B">
              <w:rPr>
                <w:rFonts w:ascii="Arial" w:hAnsi="Arial" w:cs="Arial"/>
                <w:sz w:val="20"/>
                <w:szCs w:val="20"/>
              </w:rPr>
              <w:t>This area can only be confirmed after scrutinizing the department’s Annual Report for the 2018/19 financial year. The Annual report will only be available late in September 2019.</w:t>
            </w:r>
          </w:p>
        </w:tc>
        <w:tc>
          <w:tcPr>
            <w:tcW w:w="3870" w:type="dxa"/>
            <w:gridSpan w:val="2"/>
          </w:tcPr>
          <w:p w:rsidR="00432682" w:rsidRPr="00585B8B" w:rsidRDefault="00432682" w:rsidP="00585B8B">
            <w:pPr>
              <w:jc w:val="both"/>
              <w:rPr>
                <w:rFonts w:ascii="Arial" w:hAnsi="Arial" w:cs="Arial"/>
                <w:sz w:val="20"/>
                <w:szCs w:val="20"/>
              </w:rPr>
            </w:pPr>
          </w:p>
        </w:tc>
      </w:tr>
      <w:tr w:rsidR="00432682" w:rsidRPr="00585B8B" w:rsidTr="00585B8B">
        <w:trPr>
          <w:gridAfter w:val="1"/>
          <w:wAfter w:w="74" w:type="dxa"/>
        </w:trPr>
        <w:tc>
          <w:tcPr>
            <w:tcW w:w="2042" w:type="dxa"/>
            <w:vMerge/>
          </w:tcPr>
          <w:p w:rsidR="00432682" w:rsidRPr="00585B8B" w:rsidRDefault="00432682" w:rsidP="00585B8B">
            <w:pPr>
              <w:jc w:val="both"/>
              <w:rPr>
                <w:rFonts w:ascii="Arial" w:hAnsi="Arial" w:cs="Arial"/>
                <w:sz w:val="20"/>
                <w:szCs w:val="20"/>
              </w:rPr>
            </w:pPr>
          </w:p>
        </w:tc>
        <w:tc>
          <w:tcPr>
            <w:tcW w:w="1768" w:type="dxa"/>
            <w:vMerge/>
            <w:shd w:val="clear" w:color="auto" w:fill="FFFFFF" w:themeFill="background1"/>
          </w:tcPr>
          <w:p w:rsidR="00432682" w:rsidRPr="00585B8B" w:rsidRDefault="00432682" w:rsidP="00585B8B">
            <w:pPr>
              <w:jc w:val="both"/>
              <w:rPr>
                <w:rFonts w:ascii="Arial" w:hAnsi="Arial" w:cs="Arial"/>
                <w:sz w:val="20"/>
                <w:szCs w:val="20"/>
              </w:rPr>
            </w:pPr>
          </w:p>
        </w:tc>
        <w:tc>
          <w:tcPr>
            <w:tcW w:w="4020" w:type="dxa"/>
          </w:tcPr>
          <w:p w:rsidR="00432682" w:rsidRPr="00585B8B" w:rsidRDefault="00432682" w:rsidP="00585B8B">
            <w:pPr>
              <w:pStyle w:val="ListParagraph"/>
              <w:numPr>
                <w:ilvl w:val="0"/>
                <w:numId w:val="15"/>
              </w:numPr>
              <w:ind w:left="331" w:hanging="284"/>
              <w:jc w:val="both"/>
              <w:rPr>
                <w:rFonts w:ascii="Arial" w:hAnsi="Arial" w:cs="Arial"/>
                <w:sz w:val="20"/>
                <w:szCs w:val="20"/>
              </w:rPr>
            </w:pPr>
            <w:r w:rsidRPr="00585B8B">
              <w:rPr>
                <w:rFonts w:ascii="Arial" w:hAnsi="Arial" w:cs="Arial"/>
                <w:sz w:val="20"/>
                <w:szCs w:val="20"/>
              </w:rPr>
              <w:t>The Head of Department need to take actions against the supervisors who are not concluding performance agreements with their supervisees as required.</w:t>
            </w:r>
          </w:p>
        </w:tc>
        <w:tc>
          <w:tcPr>
            <w:tcW w:w="2430" w:type="dxa"/>
            <w:gridSpan w:val="2"/>
          </w:tcPr>
          <w:p w:rsidR="00432682" w:rsidRPr="00585B8B" w:rsidRDefault="00432682" w:rsidP="00585B8B">
            <w:pPr>
              <w:jc w:val="both"/>
              <w:rPr>
                <w:rFonts w:ascii="Arial" w:hAnsi="Arial" w:cs="Arial"/>
                <w:b/>
                <w:sz w:val="20"/>
                <w:szCs w:val="20"/>
              </w:rPr>
            </w:pPr>
            <w:r w:rsidRPr="00585B8B">
              <w:rPr>
                <w:rFonts w:ascii="Arial" w:hAnsi="Arial" w:cs="Arial"/>
                <w:b/>
                <w:sz w:val="20"/>
                <w:szCs w:val="20"/>
              </w:rPr>
              <w:t>Not implemented</w:t>
            </w:r>
          </w:p>
          <w:p w:rsidR="00585B8B" w:rsidRDefault="00432682" w:rsidP="00585B8B">
            <w:pPr>
              <w:jc w:val="both"/>
              <w:rPr>
                <w:rFonts w:ascii="Arial" w:hAnsi="Arial" w:cs="Arial"/>
                <w:sz w:val="20"/>
                <w:szCs w:val="20"/>
              </w:rPr>
            </w:pPr>
            <w:r w:rsidRPr="00585B8B">
              <w:rPr>
                <w:rFonts w:ascii="Arial" w:hAnsi="Arial" w:cs="Arial"/>
                <w:sz w:val="20"/>
                <w:szCs w:val="20"/>
              </w:rPr>
              <w:t>There are officials who are still not concluding their performance agreements (and the number of officials who are not concluding their performance agreements increased compared to t</w:t>
            </w:r>
            <w:r w:rsidR="00585B8B">
              <w:rPr>
                <w:rFonts w:ascii="Arial" w:hAnsi="Arial" w:cs="Arial"/>
                <w:sz w:val="20"/>
                <w:szCs w:val="20"/>
              </w:rPr>
              <w:t xml:space="preserve">he previous financial year). </w:t>
            </w:r>
          </w:p>
          <w:p w:rsidR="00432682" w:rsidRPr="00585B8B" w:rsidRDefault="00585B8B" w:rsidP="00585B8B">
            <w:pPr>
              <w:jc w:val="both"/>
              <w:rPr>
                <w:rFonts w:ascii="Arial" w:hAnsi="Arial" w:cs="Arial"/>
                <w:sz w:val="20"/>
                <w:szCs w:val="20"/>
              </w:rPr>
            </w:pPr>
            <w:r>
              <w:rPr>
                <w:rFonts w:ascii="Arial" w:hAnsi="Arial" w:cs="Arial"/>
                <w:sz w:val="20"/>
                <w:szCs w:val="20"/>
              </w:rPr>
              <w:t xml:space="preserve"> </w:t>
            </w:r>
          </w:p>
        </w:tc>
        <w:tc>
          <w:tcPr>
            <w:tcW w:w="3870" w:type="dxa"/>
            <w:gridSpan w:val="2"/>
          </w:tcPr>
          <w:p w:rsidR="00432682" w:rsidRPr="00585B8B" w:rsidRDefault="00585B8B" w:rsidP="00585B8B">
            <w:pPr>
              <w:jc w:val="both"/>
              <w:rPr>
                <w:rFonts w:ascii="Arial" w:hAnsi="Arial" w:cs="Arial"/>
                <w:sz w:val="20"/>
                <w:szCs w:val="20"/>
              </w:rPr>
            </w:pPr>
            <w:r w:rsidRPr="00585B8B">
              <w:rPr>
                <w:rFonts w:ascii="Arial" w:hAnsi="Arial" w:cs="Arial"/>
                <w:sz w:val="20"/>
                <w:szCs w:val="20"/>
              </w:rPr>
              <w:t>The PSC will continue to monitor the Department on this matter and ensure that there is improvement in this matter. The PSC will have an engagement with the new MEC as part of its strategy of raising problematic areas that the PSC has observed.</w:t>
            </w:r>
          </w:p>
        </w:tc>
      </w:tr>
      <w:tr w:rsidR="00A47AE3" w:rsidRPr="00585B8B" w:rsidTr="00585B8B">
        <w:trPr>
          <w:gridAfter w:val="1"/>
          <w:wAfter w:w="74" w:type="dxa"/>
        </w:trPr>
        <w:tc>
          <w:tcPr>
            <w:tcW w:w="14130" w:type="dxa"/>
            <w:gridSpan w:val="7"/>
            <w:shd w:val="clear" w:color="auto" w:fill="C5E0B3" w:themeFill="accent6" w:themeFillTint="66"/>
          </w:tcPr>
          <w:p w:rsidR="00A47AE3" w:rsidRPr="00585B8B" w:rsidRDefault="00A47AE3" w:rsidP="00585B8B">
            <w:pPr>
              <w:jc w:val="center"/>
              <w:rPr>
                <w:rFonts w:ascii="Arial" w:hAnsi="Arial" w:cs="Arial"/>
                <w:b/>
                <w:sz w:val="20"/>
                <w:szCs w:val="20"/>
              </w:rPr>
            </w:pPr>
            <w:r w:rsidRPr="00585B8B">
              <w:rPr>
                <w:rFonts w:ascii="Arial" w:hAnsi="Arial" w:cs="Arial"/>
                <w:b/>
                <w:sz w:val="20"/>
                <w:szCs w:val="20"/>
              </w:rPr>
              <w:t>Public Administration Investigations</w:t>
            </w:r>
          </w:p>
        </w:tc>
      </w:tr>
      <w:tr w:rsidR="00151DA5" w:rsidRPr="00585B8B" w:rsidTr="00585B8B">
        <w:trPr>
          <w:gridAfter w:val="1"/>
          <w:wAfter w:w="74" w:type="dxa"/>
        </w:trPr>
        <w:tc>
          <w:tcPr>
            <w:tcW w:w="2042" w:type="dxa"/>
          </w:tcPr>
          <w:p w:rsidR="00151DA5" w:rsidRPr="00585B8B" w:rsidRDefault="00A47AE3"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A47AE3" w:rsidP="00585B8B">
            <w:pPr>
              <w:jc w:val="both"/>
              <w:rPr>
                <w:rFonts w:ascii="Arial" w:hAnsi="Arial" w:cs="Arial"/>
                <w:sz w:val="20"/>
                <w:szCs w:val="20"/>
              </w:rPr>
            </w:pPr>
            <w:r w:rsidRPr="00585B8B">
              <w:rPr>
                <w:rFonts w:ascii="Arial" w:hAnsi="Arial" w:cs="Arial"/>
                <w:sz w:val="20"/>
                <w:szCs w:val="20"/>
              </w:rPr>
              <w:t>Rural Development and Land Reform</w:t>
            </w:r>
          </w:p>
        </w:tc>
        <w:tc>
          <w:tcPr>
            <w:tcW w:w="4020" w:type="dxa"/>
          </w:tcPr>
          <w:p w:rsidR="00151DA5" w:rsidRPr="00585B8B" w:rsidRDefault="00A47AE3" w:rsidP="00585B8B">
            <w:pPr>
              <w:rPr>
                <w:rFonts w:ascii="Arial" w:hAnsi="Arial" w:cs="Arial"/>
                <w:sz w:val="20"/>
                <w:szCs w:val="20"/>
              </w:rPr>
            </w:pPr>
            <w:r w:rsidRPr="00585B8B">
              <w:rPr>
                <w:rFonts w:ascii="Arial" w:hAnsi="Arial" w:cs="Arial"/>
                <w:sz w:val="20"/>
                <w:szCs w:val="20"/>
              </w:rPr>
              <w:t>9 recommendations on acting appointments and acting allowances</w:t>
            </w:r>
          </w:p>
        </w:tc>
        <w:tc>
          <w:tcPr>
            <w:tcW w:w="2430" w:type="dxa"/>
            <w:gridSpan w:val="2"/>
          </w:tcPr>
          <w:p w:rsidR="00151DA5" w:rsidRPr="00585B8B" w:rsidRDefault="00A47AE3" w:rsidP="00585B8B">
            <w:pPr>
              <w:jc w:val="both"/>
              <w:rPr>
                <w:rFonts w:ascii="Arial" w:hAnsi="Arial" w:cs="Arial"/>
                <w:b/>
                <w:sz w:val="20"/>
                <w:szCs w:val="20"/>
              </w:rPr>
            </w:pPr>
            <w:r w:rsidRPr="00585B8B">
              <w:rPr>
                <w:rFonts w:ascii="Arial" w:hAnsi="Arial" w:cs="Arial"/>
                <w:b/>
                <w:sz w:val="20"/>
                <w:szCs w:val="20"/>
              </w:rPr>
              <w:t>No feedback received</w:t>
            </w:r>
          </w:p>
        </w:tc>
        <w:tc>
          <w:tcPr>
            <w:tcW w:w="3870" w:type="dxa"/>
            <w:gridSpan w:val="2"/>
          </w:tcPr>
          <w:p w:rsidR="00151DA5" w:rsidRPr="00585B8B" w:rsidRDefault="00CA5696" w:rsidP="00585B8B">
            <w:pPr>
              <w:jc w:val="both"/>
              <w:rPr>
                <w:rFonts w:ascii="Arial" w:hAnsi="Arial" w:cs="Arial"/>
                <w:sz w:val="20"/>
                <w:szCs w:val="20"/>
              </w:rPr>
            </w:pPr>
            <w:r w:rsidRPr="00585B8B">
              <w:rPr>
                <w:rFonts w:ascii="Arial" w:hAnsi="Arial" w:cs="Arial"/>
                <w:sz w:val="20"/>
                <w:szCs w:val="20"/>
              </w:rPr>
              <w:t>The period for implementation of recommendations lapsed on 3 June 2018. Reminder e-mails were forwarded to the Ministry on 10 August 2018, 9 November 2018 and 4 February 2019.</w:t>
            </w:r>
          </w:p>
        </w:tc>
      </w:tr>
      <w:tr w:rsidR="00151DA5" w:rsidRPr="00585B8B" w:rsidTr="00585B8B">
        <w:trPr>
          <w:gridAfter w:val="1"/>
          <w:wAfter w:w="74" w:type="dxa"/>
        </w:trPr>
        <w:tc>
          <w:tcPr>
            <w:tcW w:w="2042" w:type="dxa"/>
          </w:tcPr>
          <w:p w:rsidR="00151DA5" w:rsidRPr="00585B8B" w:rsidRDefault="00EE6B3D"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A47AE3" w:rsidP="00585B8B">
            <w:pPr>
              <w:jc w:val="both"/>
              <w:rPr>
                <w:rFonts w:ascii="Arial" w:hAnsi="Arial" w:cs="Arial"/>
                <w:sz w:val="20"/>
                <w:szCs w:val="20"/>
              </w:rPr>
            </w:pPr>
            <w:r w:rsidRPr="00585B8B">
              <w:rPr>
                <w:rFonts w:ascii="Arial" w:hAnsi="Arial" w:cs="Arial"/>
                <w:sz w:val="20"/>
                <w:szCs w:val="20"/>
              </w:rPr>
              <w:t>Independent Police Investigation Directorate</w:t>
            </w:r>
          </w:p>
        </w:tc>
        <w:tc>
          <w:tcPr>
            <w:tcW w:w="4020" w:type="dxa"/>
          </w:tcPr>
          <w:p w:rsidR="00151DA5" w:rsidRPr="00585B8B" w:rsidRDefault="00EE6B3D" w:rsidP="00585B8B">
            <w:pPr>
              <w:rPr>
                <w:rFonts w:ascii="Arial" w:hAnsi="Arial" w:cs="Arial"/>
                <w:sz w:val="20"/>
                <w:szCs w:val="20"/>
              </w:rPr>
            </w:pPr>
            <w:r w:rsidRPr="00585B8B">
              <w:rPr>
                <w:rFonts w:ascii="Arial" w:hAnsi="Arial" w:cs="Arial"/>
                <w:sz w:val="20"/>
                <w:szCs w:val="20"/>
              </w:rPr>
              <w:t>5 recommendations regarding disciplinary procedures, precautionary suspension, irregular appointment and failure to pay invoices within 30 days</w:t>
            </w:r>
          </w:p>
        </w:tc>
        <w:tc>
          <w:tcPr>
            <w:tcW w:w="2430" w:type="dxa"/>
            <w:gridSpan w:val="2"/>
          </w:tcPr>
          <w:p w:rsidR="00151DA5" w:rsidRPr="00585B8B" w:rsidRDefault="00EE6B3D" w:rsidP="00585B8B">
            <w:pPr>
              <w:jc w:val="both"/>
              <w:rPr>
                <w:rFonts w:ascii="Arial" w:hAnsi="Arial" w:cs="Arial"/>
                <w:sz w:val="20"/>
                <w:szCs w:val="20"/>
              </w:rPr>
            </w:pPr>
            <w:r w:rsidRPr="00585B8B">
              <w:rPr>
                <w:rFonts w:ascii="Arial" w:hAnsi="Arial" w:cs="Arial"/>
                <w:b/>
                <w:sz w:val="20"/>
                <w:szCs w:val="20"/>
              </w:rPr>
              <w:t>No feedback received</w:t>
            </w:r>
          </w:p>
        </w:tc>
        <w:tc>
          <w:tcPr>
            <w:tcW w:w="3870" w:type="dxa"/>
            <w:gridSpan w:val="2"/>
          </w:tcPr>
          <w:p w:rsidR="00151DA5" w:rsidRPr="00585B8B" w:rsidRDefault="00CA5696" w:rsidP="00585B8B">
            <w:pPr>
              <w:jc w:val="both"/>
              <w:rPr>
                <w:rFonts w:ascii="Arial" w:hAnsi="Arial" w:cs="Arial"/>
                <w:sz w:val="20"/>
                <w:szCs w:val="20"/>
              </w:rPr>
            </w:pPr>
            <w:r w:rsidRPr="00585B8B">
              <w:rPr>
                <w:rFonts w:ascii="Arial" w:hAnsi="Arial" w:cs="Arial"/>
                <w:sz w:val="20"/>
                <w:szCs w:val="20"/>
              </w:rPr>
              <w:t>The period for implementation of recommendations lapsed on 8 March 2018. Reminder e-mails were forwarded to the Ministry on 19 April 2018, 3 May 2018, 12 June 2018, 10 August 2018, 9 November 2018 and 4 February 2019.</w:t>
            </w:r>
          </w:p>
        </w:tc>
      </w:tr>
      <w:tr w:rsidR="00151DA5" w:rsidRPr="00585B8B" w:rsidTr="00585B8B">
        <w:trPr>
          <w:gridAfter w:val="1"/>
          <w:wAfter w:w="74" w:type="dxa"/>
          <w:trHeight w:val="1898"/>
        </w:trPr>
        <w:tc>
          <w:tcPr>
            <w:tcW w:w="2042" w:type="dxa"/>
          </w:tcPr>
          <w:p w:rsidR="00151DA5" w:rsidRPr="00585B8B" w:rsidRDefault="00EE6B3D"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EE6B3D" w:rsidP="00585B8B">
            <w:pPr>
              <w:rPr>
                <w:rFonts w:ascii="Arial" w:hAnsi="Arial" w:cs="Arial"/>
                <w:sz w:val="20"/>
                <w:szCs w:val="20"/>
              </w:rPr>
            </w:pPr>
            <w:r w:rsidRPr="00585B8B">
              <w:rPr>
                <w:rFonts w:ascii="Arial" w:hAnsi="Arial" w:cs="Arial"/>
                <w:sz w:val="20"/>
                <w:szCs w:val="20"/>
              </w:rPr>
              <w:t>Water and Sanitation</w:t>
            </w:r>
          </w:p>
        </w:tc>
        <w:tc>
          <w:tcPr>
            <w:tcW w:w="4020" w:type="dxa"/>
          </w:tcPr>
          <w:p w:rsidR="00151DA5" w:rsidRPr="00585B8B" w:rsidRDefault="00EE6B3D" w:rsidP="00585B8B">
            <w:pPr>
              <w:jc w:val="both"/>
              <w:rPr>
                <w:rFonts w:ascii="Arial" w:hAnsi="Arial" w:cs="Arial"/>
                <w:sz w:val="20"/>
                <w:szCs w:val="20"/>
              </w:rPr>
            </w:pPr>
            <w:r w:rsidRPr="00585B8B">
              <w:rPr>
                <w:rFonts w:ascii="Arial" w:hAnsi="Arial" w:cs="Arial"/>
                <w:sz w:val="20"/>
                <w:szCs w:val="20"/>
              </w:rPr>
              <w:t>5 recommendations on failure to adhere to a bargaining council resolution, appointment/ secondment of staff and job evaluation</w:t>
            </w:r>
          </w:p>
        </w:tc>
        <w:tc>
          <w:tcPr>
            <w:tcW w:w="2430" w:type="dxa"/>
            <w:gridSpan w:val="2"/>
          </w:tcPr>
          <w:p w:rsidR="00585B8B" w:rsidRDefault="00585B8B" w:rsidP="00585B8B">
            <w:pPr>
              <w:jc w:val="both"/>
              <w:rPr>
                <w:rFonts w:ascii="Arial" w:eastAsia="Calibri" w:hAnsi="Arial" w:cs="Arial"/>
                <w:sz w:val="20"/>
                <w:szCs w:val="20"/>
              </w:rPr>
            </w:pPr>
            <w:r>
              <w:rPr>
                <w:rFonts w:ascii="Arial" w:hAnsi="Arial" w:cs="Arial"/>
                <w:b/>
                <w:sz w:val="20"/>
                <w:szCs w:val="20"/>
              </w:rPr>
              <w:t>Implemented</w:t>
            </w:r>
            <w:r w:rsidRPr="00585B8B">
              <w:rPr>
                <w:rFonts w:ascii="Arial" w:eastAsia="Calibri" w:hAnsi="Arial" w:cs="Arial"/>
                <w:sz w:val="20"/>
                <w:szCs w:val="20"/>
              </w:rPr>
              <w:t xml:space="preserve"> </w:t>
            </w:r>
          </w:p>
          <w:p w:rsidR="00151DA5" w:rsidRPr="00585B8B" w:rsidRDefault="00585B8B" w:rsidP="00585B8B">
            <w:pPr>
              <w:jc w:val="both"/>
              <w:rPr>
                <w:rFonts w:ascii="Arial" w:eastAsia="Calibri" w:hAnsi="Arial" w:cs="Arial"/>
                <w:sz w:val="20"/>
                <w:szCs w:val="20"/>
              </w:rPr>
            </w:pPr>
            <w:r w:rsidRPr="00585B8B">
              <w:rPr>
                <w:rFonts w:ascii="Arial" w:eastAsia="Calibri" w:hAnsi="Arial" w:cs="Arial"/>
                <w:sz w:val="20"/>
                <w:szCs w:val="20"/>
              </w:rPr>
              <w:t>The former Minister sent the PSC a letter dated 6 April 2018 in which the PSC’s recommendations were accepted</w:t>
            </w:r>
            <w:r>
              <w:rPr>
                <w:rFonts w:ascii="Arial" w:eastAsia="Calibri" w:hAnsi="Arial" w:cs="Arial"/>
                <w:sz w:val="20"/>
                <w:szCs w:val="20"/>
              </w:rPr>
              <w:t>. The PSC’s investigating officer has testified</w:t>
            </w:r>
            <w:r w:rsidRPr="00585B8B">
              <w:rPr>
                <w:rFonts w:ascii="Arial" w:eastAsia="Calibri" w:hAnsi="Arial" w:cs="Arial"/>
                <w:sz w:val="20"/>
                <w:szCs w:val="20"/>
              </w:rPr>
              <w:t xml:space="preserve"> in the disciplinary proceedings</w:t>
            </w:r>
            <w:r>
              <w:rPr>
                <w:rFonts w:ascii="Arial" w:eastAsia="Calibri" w:hAnsi="Arial" w:cs="Arial"/>
                <w:sz w:val="20"/>
                <w:szCs w:val="20"/>
              </w:rPr>
              <w:t xml:space="preserve"> instituted by the Department</w:t>
            </w:r>
          </w:p>
        </w:tc>
        <w:tc>
          <w:tcPr>
            <w:tcW w:w="3870" w:type="dxa"/>
            <w:gridSpan w:val="2"/>
          </w:tcPr>
          <w:p w:rsidR="00151DA5" w:rsidRPr="00585B8B" w:rsidRDefault="00151DA5" w:rsidP="00585B8B">
            <w:pPr>
              <w:jc w:val="both"/>
              <w:rPr>
                <w:rFonts w:ascii="Arial" w:hAnsi="Arial" w:cs="Arial"/>
                <w:sz w:val="20"/>
                <w:szCs w:val="20"/>
              </w:rPr>
            </w:pPr>
          </w:p>
        </w:tc>
      </w:tr>
      <w:tr w:rsidR="00151DA5" w:rsidRPr="00585B8B" w:rsidTr="00585B8B">
        <w:trPr>
          <w:gridAfter w:val="1"/>
          <w:wAfter w:w="74" w:type="dxa"/>
        </w:trPr>
        <w:tc>
          <w:tcPr>
            <w:tcW w:w="2042"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324E1E" w:rsidP="00585B8B">
            <w:pPr>
              <w:rPr>
                <w:rFonts w:ascii="Arial" w:hAnsi="Arial" w:cs="Arial"/>
                <w:sz w:val="20"/>
                <w:szCs w:val="20"/>
              </w:rPr>
            </w:pPr>
            <w:r w:rsidRPr="00585B8B">
              <w:rPr>
                <w:rFonts w:ascii="Arial" w:hAnsi="Arial" w:cs="Arial"/>
                <w:sz w:val="20"/>
                <w:szCs w:val="20"/>
              </w:rPr>
              <w:t>Public Service and Administration</w:t>
            </w:r>
          </w:p>
        </w:tc>
        <w:tc>
          <w:tcPr>
            <w:tcW w:w="4020"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4 recommendations on the filling of posts in the private office of the Minister</w:t>
            </w:r>
          </w:p>
        </w:tc>
        <w:tc>
          <w:tcPr>
            <w:tcW w:w="2430" w:type="dxa"/>
            <w:gridSpan w:val="2"/>
          </w:tcPr>
          <w:p w:rsidR="00151DA5" w:rsidRPr="00585B8B" w:rsidRDefault="00324E1E" w:rsidP="00585B8B">
            <w:pPr>
              <w:jc w:val="both"/>
              <w:rPr>
                <w:rFonts w:ascii="Arial" w:hAnsi="Arial" w:cs="Arial"/>
                <w:sz w:val="20"/>
                <w:szCs w:val="20"/>
              </w:rPr>
            </w:pPr>
            <w:r w:rsidRPr="00585B8B">
              <w:rPr>
                <w:rFonts w:ascii="Arial" w:hAnsi="Arial" w:cs="Arial"/>
                <w:b/>
                <w:sz w:val="20"/>
                <w:szCs w:val="20"/>
              </w:rPr>
              <w:t>No feedback received</w:t>
            </w:r>
          </w:p>
        </w:tc>
        <w:tc>
          <w:tcPr>
            <w:tcW w:w="3870" w:type="dxa"/>
            <w:gridSpan w:val="2"/>
          </w:tcPr>
          <w:p w:rsidR="00151DA5" w:rsidRPr="00585B8B" w:rsidRDefault="00CA5696" w:rsidP="007042FD">
            <w:pPr>
              <w:jc w:val="both"/>
              <w:rPr>
                <w:rFonts w:ascii="Arial" w:hAnsi="Arial" w:cs="Arial"/>
                <w:sz w:val="20"/>
                <w:szCs w:val="20"/>
              </w:rPr>
            </w:pPr>
            <w:r w:rsidRPr="00585B8B">
              <w:rPr>
                <w:rFonts w:ascii="Arial" w:hAnsi="Arial" w:cs="Arial"/>
                <w:sz w:val="20"/>
                <w:szCs w:val="20"/>
              </w:rPr>
              <w:t xml:space="preserve">The final report was on 13 February 2019 forwarded to, amongst others, the Minister for further action. </w:t>
            </w:r>
          </w:p>
        </w:tc>
      </w:tr>
      <w:tr w:rsidR="00151DA5" w:rsidRPr="00585B8B" w:rsidTr="00585B8B">
        <w:trPr>
          <w:gridAfter w:val="1"/>
          <w:wAfter w:w="74" w:type="dxa"/>
        </w:trPr>
        <w:tc>
          <w:tcPr>
            <w:tcW w:w="2042"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324E1E" w:rsidP="00585B8B">
            <w:pPr>
              <w:jc w:val="both"/>
              <w:rPr>
                <w:rFonts w:ascii="Arial" w:hAnsi="Arial" w:cs="Arial"/>
                <w:sz w:val="20"/>
                <w:szCs w:val="20"/>
              </w:rPr>
            </w:pPr>
            <w:r w:rsidRPr="00585B8B">
              <w:rPr>
                <w:rFonts w:ascii="Arial" w:hAnsi="Arial" w:cs="Arial"/>
                <w:sz w:val="20"/>
                <w:szCs w:val="20"/>
              </w:rPr>
              <w:t>Public Enterprises</w:t>
            </w:r>
          </w:p>
        </w:tc>
        <w:tc>
          <w:tcPr>
            <w:tcW w:w="4020"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1 recommendation on recovery of money that was irregularly paid</w:t>
            </w:r>
          </w:p>
        </w:tc>
        <w:tc>
          <w:tcPr>
            <w:tcW w:w="2430" w:type="dxa"/>
            <w:gridSpan w:val="2"/>
          </w:tcPr>
          <w:p w:rsidR="00151DA5" w:rsidRPr="00585B8B" w:rsidRDefault="00324E1E" w:rsidP="00585B8B">
            <w:pPr>
              <w:jc w:val="both"/>
              <w:rPr>
                <w:rFonts w:ascii="Arial" w:hAnsi="Arial" w:cs="Arial"/>
                <w:sz w:val="20"/>
                <w:szCs w:val="20"/>
              </w:rPr>
            </w:pPr>
            <w:r w:rsidRPr="00585B8B">
              <w:rPr>
                <w:rFonts w:ascii="Arial" w:hAnsi="Arial" w:cs="Arial"/>
                <w:b/>
                <w:sz w:val="20"/>
                <w:szCs w:val="20"/>
              </w:rPr>
              <w:t>No feedback received</w:t>
            </w:r>
          </w:p>
        </w:tc>
        <w:tc>
          <w:tcPr>
            <w:tcW w:w="3870" w:type="dxa"/>
            <w:gridSpan w:val="2"/>
          </w:tcPr>
          <w:p w:rsidR="00151DA5" w:rsidRPr="00585B8B" w:rsidRDefault="00CA5696" w:rsidP="00585B8B">
            <w:pPr>
              <w:jc w:val="both"/>
              <w:rPr>
                <w:rFonts w:ascii="Arial" w:hAnsi="Arial" w:cs="Arial"/>
                <w:sz w:val="20"/>
                <w:szCs w:val="20"/>
              </w:rPr>
            </w:pPr>
            <w:r w:rsidRPr="00585B8B">
              <w:rPr>
                <w:rFonts w:ascii="Arial" w:hAnsi="Arial" w:cs="Arial"/>
                <w:sz w:val="20"/>
                <w:szCs w:val="20"/>
              </w:rPr>
              <w:t xml:space="preserve">The report was approved and forwarded to the Minister on 15 November 2018 for comment within 30 days of receipt of the report. </w:t>
            </w:r>
          </w:p>
        </w:tc>
      </w:tr>
      <w:tr w:rsidR="00151DA5" w:rsidRPr="00585B8B" w:rsidTr="00585B8B">
        <w:trPr>
          <w:gridAfter w:val="1"/>
          <w:wAfter w:w="74" w:type="dxa"/>
        </w:trPr>
        <w:tc>
          <w:tcPr>
            <w:tcW w:w="2042"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151DA5" w:rsidRPr="00585B8B" w:rsidRDefault="00324E1E" w:rsidP="00585B8B">
            <w:pPr>
              <w:rPr>
                <w:rFonts w:ascii="Arial" w:hAnsi="Arial" w:cs="Arial"/>
                <w:sz w:val="20"/>
                <w:szCs w:val="20"/>
              </w:rPr>
            </w:pPr>
            <w:r w:rsidRPr="00585B8B">
              <w:rPr>
                <w:rFonts w:ascii="Arial" w:hAnsi="Arial" w:cs="Arial"/>
                <w:sz w:val="20"/>
                <w:szCs w:val="20"/>
              </w:rPr>
              <w:t>Justice and Constitutional Development</w:t>
            </w:r>
          </w:p>
        </w:tc>
        <w:tc>
          <w:tcPr>
            <w:tcW w:w="4020" w:type="dxa"/>
          </w:tcPr>
          <w:p w:rsidR="00151DA5" w:rsidRPr="00585B8B" w:rsidRDefault="00324E1E" w:rsidP="00585B8B">
            <w:pPr>
              <w:jc w:val="both"/>
              <w:rPr>
                <w:rFonts w:ascii="Arial" w:hAnsi="Arial" w:cs="Arial"/>
                <w:sz w:val="20"/>
                <w:szCs w:val="20"/>
              </w:rPr>
            </w:pPr>
            <w:r w:rsidRPr="00585B8B">
              <w:rPr>
                <w:rFonts w:ascii="Arial" w:hAnsi="Arial" w:cs="Arial"/>
                <w:sz w:val="20"/>
                <w:szCs w:val="20"/>
              </w:rPr>
              <w:t>2 recommendations on irregular appointments</w:t>
            </w:r>
          </w:p>
        </w:tc>
        <w:tc>
          <w:tcPr>
            <w:tcW w:w="2430" w:type="dxa"/>
            <w:gridSpan w:val="2"/>
          </w:tcPr>
          <w:p w:rsidR="00151DA5" w:rsidRPr="00585B8B" w:rsidRDefault="00324E1E" w:rsidP="00585B8B">
            <w:pPr>
              <w:jc w:val="both"/>
              <w:rPr>
                <w:rFonts w:ascii="Arial" w:hAnsi="Arial" w:cs="Arial"/>
                <w:sz w:val="20"/>
                <w:szCs w:val="20"/>
              </w:rPr>
            </w:pPr>
            <w:r w:rsidRPr="00585B8B">
              <w:rPr>
                <w:rFonts w:ascii="Arial" w:hAnsi="Arial" w:cs="Arial"/>
                <w:b/>
                <w:sz w:val="20"/>
                <w:szCs w:val="20"/>
              </w:rPr>
              <w:t>No feedback received</w:t>
            </w:r>
          </w:p>
        </w:tc>
        <w:tc>
          <w:tcPr>
            <w:tcW w:w="3870" w:type="dxa"/>
            <w:gridSpan w:val="2"/>
          </w:tcPr>
          <w:p w:rsidR="00151DA5" w:rsidRPr="00585B8B" w:rsidRDefault="00CA5696" w:rsidP="00814A2C">
            <w:pPr>
              <w:jc w:val="both"/>
              <w:rPr>
                <w:rFonts w:ascii="Arial" w:hAnsi="Arial" w:cs="Arial"/>
                <w:sz w:val="20"/>
                <w:szCs w:val="20"/>
              </w:rPr>
            </w:pPr>
            <w:r w:rsidRPr="00585B8B">
              <w:rPr>
                <w:rFonts w:ascii="Arial" w:hAnsi="Arial" w:cs="Arial"/>
                <w:sz w:val="20"/>
                <w:szCs w:val="20"/>
              </w:rPr>
              <w:t xml:space="preserve">The report was approved in March 2017. The Department </w:t>
            </w:r>
            <w:r w:rsidR="00814A2C">
              <w:rPr>
                <w:rFonts w:ascii="Arial" w:hAnsi="Arial" w:cs="Arial"/>
                <w:sz w:val="20"/>
                <w:szCs w:val="20"/>
              </w:rPr>
              <w:t>had to</w:t>
            </w:r>
            <w:r w:rsidRPr="00585B8B">
              <w:rPr>
                <w:rFonts w:ascii="Arial" w:hAnsi="Arial" w:cs="Arial"/>
                <w:sz w:val="20"/>
                <w:szCs w:val="20"/>
              </w:rPr>
              <w:t xml:space="preserve"> provide feedback on the implementation of recommendations within 60 days of receipt of the report. Follow-ups were made with the Department. The latest follow-up being on 08 July 2019. </w:t>
            </w:r>
          </w:p>
        </w:tc>
      </w:tr>
      <w:tr w:rsidR="00324E1E" w:rsidRPr="00585B8B" w:rsidTr="00585B8B">
        <w:trPr>
          <w:gridAfter w:val="1"/>
          <w:wAfter w:w="74" w:type="dxa"/>
        </w:trPr>
        <w:tc>
          <w:tcPr>
            <w:tcW w:w="2042" w:type="dxa"/>
          </w:tcPr>
          <w:p w:rsidR="00324E1E" w:rsidRPr="00585B8B" w:rsidRDefault="00504924"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324E1E" w:rsidRPr="00585B8B" w:rsidRDefault="00504924" w:rsidP="00585B8B">
            <w:pPr>
              <w:rPr>
                <w:rFonts w:ascii="Arial" w:hAnsi="Arial" w:cs="Arial"/>
                <w:sz w:val="20"/>
                <w:szCs w:val="20"/>
              </w:rPr>
            </w:pPr>
            <w:r w:rsidRPr="00585B8B">
              <w:rPr>
                <w:rFonts w:ascii="Arial" w:hAnsi="Arial" w:cs="Arial"/>
                <w:sz w:val="20"/>
                <w:szCs w:val="20"/>
              </w:rPr>
              <w:t>Public Works</w:t>
            </w:r>
          </w:p>
        </w:tc>
        <w:tc>
          <w:tcPr>
            <w:tcW w:w="4020" w:type="dxa"/>
          </w:tcPr>
          <w:p w:rsidR="00324E1E" w:rsidRPr="00585B8B" w:rsidRDefault="00504924" w:rsidP="00585B8B">
            <w:pPr>
              <w:jc w:val="both"/>
              <w:rPr>
                <w:rFonts w:ascii="Arial" w:hAnsi="Arial" w:cs="Arial"/>
                <w:sz w:val="20"/>
                <w:szCs w:val="20"/>
              </w:rPr>
            </w:pPr>
            <w:r w:rsidRPr="00585B8B">
              <w:rPr>
                <w:rFonts w:ascii="Arial" w:hAnsi="Arial" w:cs="Arial"/>
                <w:sz w:val="20"/>
                <w:szCs w:val="20"/>
              </w:rPr>
              <w:t>31 recommendations regarding 12 instances of irregular appointments of members of the senior management service</w:t>
            </w:r>
          </w:p>
        </w:tc>
        <w:tc>
          <w:tcPr>
            <w:tcW w:w="2430" w:type="dxa"/>
            <w:gridSpan w:val="2"/>
          </w:tcPr>
          <w:p w:rsidR="00324E1E" w:rsidRPr="00585B8B" w:rsidRDefault="00504924" w:rsidP="00585B8B">
            <w:pPr>
              <w:jc w:val="both"/>
              <w:rPr>
                <w:rFonts w:ascii="Arial" w:hAnsi="Arial" w:cs="Arial"/>
                <w:b/>
                <w:sz w:val="20"/>
                <w:szCs w:val="20"/>
              </w:rPr>
            </w:pPr>
            <w:r w:rsidRPr="00585B8B">
              <w:rPr>
                <w:rFonts w:ascii="Arial" w:hAnsi="Arial" w:cs="Arial"/>
                <w:b/>
                <w:sz w:val="20"/>
                <w:szCs w:val="20"/>
              </w:rPr>
              <w:t>Subject to court judgement</w:t>
            </w:r>
          </w:p>
        </w:tc>
        <w:tc>
          <w:tcPr>
            <w:tcW w:w="3870" w:type="dxa"/>
            <w:gridSpan w:val="2"/>
          </w:tcPr>
          <w:p w:rsidR="00324E1E" w:rsidRPr="00585B8B" w:rsidRDefault="00504924" w:rsidP="00585B8B">
            <w:pPr>
              <w:jc w:val="both"/>
              <w:rPr>
                <w:rFonts w:ascii="Arial" w:hAnsi="Arial" w:cs="Arial"/>
                <w:sz w:val="20"/>
                <w:szCs w:val="20"/>
              </w:rPr>
            </w:pPr>
            <w:r w:rsidRPr="00585B8B">
              <w:rPr>
                <w:rFonts w:ascii="Arial" w:hAnsi="Arial" w:cs="Arial"/>
                <w:sz w:val="20"/>
                <w:szCs w:val="20"/>
              </w:rPr>
              <w:t xml:space="preserve">The DPW has </w:t>
            </w:r>
            <w:r w:rsidR="00CA5696" w:rsidRPr="00585B8B">
              <w:rPr>
                <w:rFonts w:ascii="Arial" w:hAnsi="Arial" w:cs="Arial"/>
                <w:sz w:val="20"/>
                <w:szCs w:val="20"/>
              </w:rPr>
              <w:t>approached the courts to</w:t>
            </w:r>
            <w:r w:rsidRPr="00585B8B">
              <w:rPr>
                <w:rFonts w:ascii="Arial" w:hAnsi="Arial" w:cs="Arial"/>
                <w:sz w:val="20"/>
                <w:szCs w:val="20"/>
              </w:rPr>
              <w:t xml:space="preserve"> set aside the irregular appointments.</w:t>
            </w:r>
          </w:p>
        </w:tc>
      </w:tr>
      <w:tr w:rsidR="00324E1E" w:rsidRPr="00585B8B" w:rsidTr="00585B8B">
        <w:trPr>
          <w:gridAfter w:val="1"/>
          <w:wAfter w:w="74" w:type="dxa"/>
        </w:trPr>
        <w:tc>
          <w:tcPr>
            <w:tcW w:w="2042" w:type="dxa"/>
          </w:tcPr>
          <w:p w:rsidR="00324E1E" w:rsidRPr="00585B8B" w:rsidRDefault="00954622"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324E1E" w:rsidRPr="00585B8B" w:rsidRDefault="00954622" w:rsidP="00585B8B">
            <w:pPr>
              <w:rPr>
                <w:rFonts w:ascii="Arial" w:hAnsi="Arial" w:cs="Arial"/>
                <w:sz w:val="20"/>
                <w:szCs w:val="20"/>
              </w:rPr>
            </w:pPr>
            <w:r w:rsidRPr="00585B8B">
              <w:rPr>
                <w:rFonts w:ascii="Arial" w:hAnsi="Arial" w:cs="Arial"/>
                <w:sz w:val="20"/>
                <w:szCs w:val="20"/>
              </w:rPr>
              <w:t>Science and Technology</w:t>
            </w:r>
          </w:p>
        </w:tc>
        <w:tc>
          <w:tcPr>
            <w:tcW w:w="4020" w:type="dxa"/>
          </w:tcPr>
          <w:p w:rsidR="00324E1E" w:rsidRPr="00585B8B" w:rsidRDefault="00DB10B6" w:rsidP="00585B8B">
            <w:pPr>
              <w:jc w:val="both"/>
              <w:rPr>
                <w:rFonts w:ascii="Arial" w:hAnsi="Arial" w:cs="Arial"/>
                <w:sz w:val="20"/>
                <w:szCs w:val="20"/>
              </w:rPr>
            </w:pPr>
            <w:r w:rsidRPr="00585B8B">
              <w:rPr>
                <w:rFonts w:ascii="Arial" w:hAnsi="Arial" w:cs="Arial"/>
                <w:color w:val="000000" w:themeColor="text1"/>
                <w:sz w:val="20"/>
                <w:szCs w:val="20"/>
              </w:rPr>
              <w:t>3</w:t>
            </w:r>
            <w:r w:rsidR="00504924" w:rsidRPr="00585B8B">
              <w:rPr>
                <w:rFonts w:ascii="Arial" w:hAnsi="Arial" w:cs="Arial"/>
                <w:color w:val="000000" w:themeColor="text1"/>
                <w:sz w:val="20"/>
                <w:szCs w:val="20"/>
              </w:rPr>
              <w:t xml:space="preserve"> </w:t>
            </w:r>
            <w:r w:rsidR="00504924" w:rsidRPr="00585B8B">
              <w:rPr>
                <w:rFonts w:ascii="Arial" w:hAnsi="Arial" w:cs="Arial"/>
                <w:sz w:val="20"/>
                <w:szCs w:val="20"/>
              </w:rPr>
              <w:t>recommendations on non-adherence to Supply Chain Management regulations and Treasury Practice Notes</w:t>
            </w:r>
          </w:p>
        </w:tc>
        <w:tc>
          <w:tcPr>
            <w:tcW w:w="2430" w:type="dxa"/>
            <w:gridSpan w:val="2"/>
          </w:tcPr>
          <w:p w:rsidR="00324E1E" w:rsidRPr="00585B8B" w:rsidRDefault="00954622" w:rsidP="00585B8B">
            <w:pPr>
              <w:jc w:val="both"/>
              <w:rPr>
                <w:rFonts w:ascii="Arial" w:hAnsi="Arial" w:cs="Arial"/>
                <w:b/>
                <w:sz w:val="20"/>
                <w:szCs w:val="20"/>
              </w:rPr>
            </w:pPr>
            <w:r w:rsidRPr="00585B8B">
              <w:rPr>
                <w:rFonts w:ascii="Arial" w:hAnsi="Arial" w:cs="Arial"/>
                <w:b/>
                <w:sz w:val="20"/>
                <w:szCs w:val="20"/>
              </w:rPr>
              <w:t>Implemented</w:t>
            </w:r>
          </w:p>
        </w:tc>
        <w:tc>
          <w:tcPr>
            <w:tcW w:w="3870" w:type="dxa"/>
            <w:gridSpan w:val="2"/>
          </w:tcPr>
          <w:p w:rsidR="00324E1E" w:rsidRPr="00585B8B" w:rsidRDefault="00324E1E" w:rsidP="00585B8B">
            <w:pPr>
              <w:jc w:val="both"/>
              <w:rPr>
                <w:rFonts w:ascii="Arial" w:hAnsi="Arial" w:cs="Arial"/>
                <w:sz w:val="20"/>
                <w:szCs w:val="20"/>
              </w:rPr>
            </w:pPr>
          </w:p>
        </w:tc>
      </w:tr>
      <w:tr w:rsidR="00324E1E" w:rsidRPr="00585B8B" w:rsidTr="00585B8B">
        <w:trPr>
          <w:gridAfter w:val="1"/>
          <w:wAfter w:w="74" w:type="dxa"/>
        </w:trPr>
        <w:tc>
          <w:tcPr>
            <w:tcW w:w="2042" w:type="dxa"/>
          </w:tcPr>
          <w:p w:rsidR="00324E1E" w:rsidRPr="00585B8B" w:rsidRDefault="00954622"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324E1E" w:rsidRPr="00585B8B" w:rsidRDefault="00954622" w:rsidP="00585B8B">
            <w:pPr>
              <w:jc w:val="both"/>
              <w:rPr>
                <w:rFonts w:ascii="Arial" w:hAnsi="Arial" w:cs="Arial"/>
                <w:sz w:val="20"/>
                <w:szCs w:val="20"/>
              </w:rPr>
            </w:pPr>
            <w:r w:rsidRPr="00585B8B">
              <w:rPr>
                <w:rFonts w:ascii="Arial" w:hAnsi="Arial" w:cs="Arial"/>
                <w:sz w:val="20"/>
                <w:szCs w:val="20"/>
              </w:rPr>
              <w:t>Trade and Industry</w:t>
            </w:r>
          </w:p>
        </w:tc>
        <w:tc>
          <w:tcPr>
            <w:tcW w:w="4020" w:type="dxa"/>
          </w:tcPr>
          <w:p w:rsidR="00324E1E" w:rsidRPr="00585B8B" w:rsidRDefault="00954622" w:rsidP="00585B8B">
            <w:pPr>
              <w:jc w:val="both"/>
              <w:rPr>
                <w:rFonts w:ascii="Arial" w:hAnsi="Arial" w:cs="Arial"/>
                <w:sz w:val="20"/>
                <w:szCs w:val="20"/>
              </w:rPr>
            </w:pPr>
            <w:r w:rsidRPr="00585B8B">
              <w:rPr>
                <w:rFonts w:ascii="Arial" w:hAnsi="Arial" w:cs="Arial"/>
                <w:sz w:val="20"/>
                <w:szCs w:val="20"/>
              </w:rPr>
              <w:t>5 recommendations on irregular expenditure on tuition fees and awarding of study bursaries</w:t>
            </w:r>
          </w:p>
        </w:tc>
        <w:tc>
          <w:tcPr>
            <w:tcW w:w="2430" w:type="dxa"/>
            <w:gridSpan w:val="2"/>
          </w:tcPr>
          <w:p w:rsidR="00324E1E" w:rsidRPr="00585B8B" w:rsidRDefault="00954622" w:rsidP="00585B8B">
            <w:pPr>
              <w:jc w:val="both"/>
              <w:rPr>
                <w:rFonts w:ascii="Arial" w:hAnsi="Arial" w:cs="Arial"/>
                <w:b/>
                <w:sz w:val="20"/>
                <w:szCs w:val="20"/>
              </w:rPr>
            </w:pPr>
            <w:r w:rsidRPr="00585B8B">
              <w:rPr>
                <w:rFonts w:ascii="Arial" w:hAnsi="Arial" w:cs="Arial"/>
                <w:b/>
                <w:sz w:val="20"/>
                <w:szCs w:val="20"/>
              </w:rPr>
              <w:t>2 implemented</w:t>
            </w:r>
          </w:p>
          <w:p w:rsidR="00954622" w:rsidRPr="00585B8B" w:rsidRDefault="00ED3D88" w:rsidP="00585B8B">
            <w:pPr>
              <w:jc w:val="both"/>
              <w:rPr>
                <w:rFonts w:ascii="Arial" w:hAnsi="Arial" w:cs="Arial"/>
                <w:sz w:val="20"/>
                <w:szCs w:val="20"/>
              </w:rPr>
            </w:pPr>
            <w:r w:rsidRPr="00585B8B">
              <w:rPr>
                <w:rFonts w:ascii="Arial" w:hAnsi="Arial" w:cs="Arial"/>
                <w:b/>
                <w:sz w:val="20"/>
                <w:szCs w:val="20"/>
              </w:rPr>
              <w:t xml:space="preserve">3 </w:t>
            </w:r>
            <w:r w:rsidR="00451DCC" w:rsidRPr="00585B8B">
              <w:rPr>
                <w:rFonts w:ascii="Arial" w:hAnsi="Arial" w:cs="Arial"/>
                <w:b/>
                <w:color w:val="000000" w:themeColor="text1"/>
                <w:sz w:val="20"/>
                <w:szCs w:val="20"/>
              </w:rPr>
              <w:t xml:space="preserve">to be </w:t>
            </w:r>
            <w:r w:rsidR="00AE206B" w:rsidRPr="00585B8B">
              <w:rPr>
                <w:rFonts w:ascii="Arial" w:hAnsi="Arial" w:cs="Arial"/>
                <w:b/>
                <w:color w:val="000000" w:themeColor="text1"/>
                <w:sz w:val="20"/>
                <w:szCs w:val="20"/>
              </w:rPr>
              <w:t>implemented</w:t>
            </w:r>
          </w:p>
        </w:tc>
        <w:tc>
          <w:tcPr>
            <w:tcW w:w="3870" w:type="dxa"/>
            <w:gridSpan w:val="2"/>
          </w:tcPr>
          <w:p w:rsidR="00324E1E" w:rsidRPr="00585B8B" w:rsidRDefault="00324E1E" w:rsidP="00585B8B">
            <w:pPr>
              <w:jc w:val="both"/>
              <w:rPr>
                <w:rFonts w:ascii="Arial" w:hAnsi="Arial" w:cs="Arial"/>
                <w:sz w:val="20"/>
                <w:szCs w:val="20"/>
              </w:rPr>
            </w:pPr>
          </w:p>
        </w:tc>
      </w:tr>
      <w:tr w:rsidR="00954622" w:rsidRPr="00585B8B" w:rsidTr="00585B8B">
        <w:trPr>
          <w:gridAfter w:val="1"/>
          <w:wAfter w:w="74" w:type="dxa"/>
        </w:trPr>
        <w:tc>
          <w:tcPr>
            <w:tcW w:w="2042" w:type="dxa"/>
          </w:tcPr>
          <w:p w:rsidR="00954622" w:rsidRPr="00585B8B" w:rsidRDefault="00954622"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954622" w:rsidRPr="00585B8B" w:rsidRDefault="00954622" w:rsidP="00585B8B">
            <w:pPr>
              <w:rPr>
                <w:rFonts w:ascii="Arial" w:hAnsi="Arial" w:cs="Arial"/>
                <w:sz w:val="20"/>
                <w:szCs w:val="20"/>
              </w:rPr>
            </w:pPr>
            <w:r w:rsidRPr="00585B8B">
              <w:rPr>
                <w:rFonts w:ascii="Arial" w:hAnsi="Arial" w:cs="Arial"/>
                <w:sz w:val="20"/>
                <w:szCs w:val="20"/>
              </w:rPr>
              <w:t>Sport and Recreation SA</w:t>
            </w:r>
          </w:p>
        </w:tc>
        <w:tc>
          <w:tcPr>
            <w:tcW w:w="4020" w:type="dxa"/>
          </w:tcPr>
          <w:p w:rsidR="00954622" w:rsidRPr="00585B8B" w:rsidRDefault="008413B7" w:rsidP="00585B8B">
            <w:pPr>
              <w:jc w:val="both"/>
              <w:rPr>
                <w:rFonts w:ascii="Arial" w:hAnsi="Arial" w:cs="Arial"/>
                <w:sz w:val="20"/>
                <w:szCs w:val="20"/>
              </w:rPr>
            </w:pPr>
            <w:r w:rsidRPr="00585B8B">
              <w:rPr>
                <w:rFonts w:ascii="Arial" w:hAnsi="Arial" w:cs="Arial"/>
                <w:sz w:val="20"/>
                <w:szCs w:val="20"/>
              </w:rPr>
              <w:t>11 recommendations with regard to delays in the filling of posts, creation of posts, competency assessment and deployment matters – transfers, secondments and assignments.</w:t>
            </w:r>
          </w:p>
        </w:tc>
        <w:tc>
          <w:tcPr>
            <w:tcW w:w="2430" w:type="dxa"/>
            <w:gridSpan w:val="2"/>
          </w:tcPr>
          <w:p w:rsidR="00954622" w:rsidRPr="00585B8B" w:rsidRDefault="00954622" w:rsidP="00585B8B">
            <w:pPr>
              <w:jc w:val="both"/>
              <w:rPr>
                <w:rFonts w:ascii="Arial" w:hAnsi="Arial" w:cs="Arial"/>
                <w:sz w:val="20"/>
                <w:szCs w:val="20"/>
              </w:rPr>
            </w:pPr>
            <w:r w:rsidRPr="00585B8B">
              <w:rPr>
                <w:rFonts w:ascii="Arial" w:hAnsi="Arial" w:cs="Arial"/>
                <w:b/>
                <w:sz w:val="20"/>
                <w:szCs w:val="20"/>
              </w:rPr>
              <w:t>No feedback received</w:t>
            </w:r>
          </w:p>
        </w:tc>
        <w:tc>
          <w:tcPr>
            <w:tcW w:w="3870" w:type="dxa"/>
            <w:gridSpan w:val="2"/>
          </w:tcPr>
          <w:p w:rsidR="00954622" w:rsidRPr="00585B8B" w:rsidRDefault="00366D0C" w:rsidP="00585B8B">
            <w:pPr>
              <w:jc w:val="both"/>
              <w:rPr>
                <w:rFonts w:ascii="Arial" w:hAnsi="Arial" w:cs="Arial"/>
                <w:sz w:val="20"/>
                <w:szCs w:val="20"/>
              </w:rPr>
            </w:pPr>
            <w:r w:rsidRPr="00585B8B">
              <w:rPr>
                <w:rFonts w:ascii="Arial" w:hAnsi="Arial" w:cs="Arial"/>
                <w:sz w:val="20"/>
                <w:szCs w:val="20"/>
              </w:rPr>
              <w:t xml:space="preserve">The final report together with the letter addressed to the Minister was handed to the Chief of Staff (CoS) in the Ministry on 5 November 2018. Feedback on implementation of the recommendations </w:t>
            </w:r>
            <w:r w:rsidR="007B7FDA" w:rsidRPr="00585B8B">
              <w:rPr>
                <w:rFonts w:ascii="Arial" w:hAnsi="Arial" w:cs="Arial"/>
                <w:sz w:val="20"/>
                <w:szCs w:val="20"/>
              </w:rPr>
              <w:t>had to be</w:t>
            </w:r>
            <w:r w:rsidRPr="00585B8B">
              <w:rPr>
                <w:rFonts w:ascii="Arial" w:hAnsi="Arial" w:cs="Arial"/>
                <w:sz w:val="20"/>
                <w:szCs w:val="20"/>
              </w:rPr>
              <w:t xml:space="preserve"> provided to the PSC within 60 days, which period lapsed on 5 January 2019. Reminder e mails were forwarded to the CoS in the Ministry on 24 January 2019 and 16 April 2019. On 4 February 2019 the CoS indicated in an e mail that the content of the e mail dated 24 January 2019 was “</w:t>
            </w:r>
            <w:r w:rsidRPr="00585B8B">
              <w:rPr>
                <w:rFonts w:ascii="Arial" w:hAnsi="Arial" w:cs="Arial"/>
                <w:i/>
                <w:sz w:val="20"/>
                <w:szCs w:val="20"/>
              </w:rPr>
              <w:t>shared with the Minister and the department who will respond to you in due course</w:t>
            </w:r>
            <w:r w:rsidRPr="00585B8B">
              <w:rPr>
                <w:rFonts w:ascii="Arial" w:hAnsi="Arial" w:cs="Arial"/>
                <w:sz w:val="20"/>
                <w:szCs w:val="20"/>
              </w:rPr>
              <w:t>”.  To date no feedback on the implementation of the recommendations has been received.</w:t>
            </w:r>
          </w:p>
        </w:tc>
      </w:tr>
      <w:tr w:rsidR="00954622" w:rsidRPr="00585B8B" w:rsidTr="00585B8B">
        <w:trPr>
          <w:gridAfter w:val="1"/>
          <w:wAfter w:w="74" w:type="dxa"/>
        </w:trPr>
        <w:tc>
          <w:tcPr>
            <w:tcW w:w="2042" w:type="dxa"/>
          </w:tcPr>
          <w:p w:rsidR="00954622" w:rsidRPr="00585B8B" w:rsidRDefault="008413B7" w:rsidP="00585B8B">
            <w:pPr>
              <w:jc w:val="both"/>
              <w:rPr>
                <w:rFonts w:ascii="Arial" w:hAnsi="Arial" w:cs="Arial"/>
                <w:sz w:val="20"/>
                <w:szCs w:val="20"/>
              </w:rPr>
            </w:pPr>
            <w:r w:rsidRPr="00585B8B">
              <w:rPr>
                <w:rFonts w:ascii="Arial" w:hAnsi="Arial" w:cs="Arial"/>
                <w:sz w:val="20"/>
                <w:szCs w:val="20"/>
              </w:rPr>
              <w:t>Investigation into a complaint</w:t>
            </w:r>
          </w:p>
        </w:tc>
        <w:tc>
          <w:tcPr>
            <w:tcW w:w="1768" w:type="dxa"/>
            <w:shd w:val="clear" w:color="auto" w:fill="FFFFFF" w:themeFill="background1"/>
          </w:tcPr>
          <w:p w:rsidR="00954622" w:rsidRPr="00585B8B" w:rsidRDefault="008413B7" w:rsidP="00585B8B">
            <w:pPr>
              <w:jc w:val="both"/>
              <w:rPr>
                <w:rFonts w:ascii="Arial" w:hAnsi="Arial" w:cs="Arial"/>
                <w:sz w:val="20"/>
                <w:szCs w:val="20"/>
              </w:rPr>
            </w:pPr>
            <w:r w:rsidRPr="00585B8B">
              <w:rPr>
                <w:rFonts w:ascii="Arial" w:hAnsi="Arial" w:cs="Arial"/>
                <w:sz w:val="20"/>
                <w:szCs w:val="20"/>
              </w:rPr>
              <w:t>Center for Public Service Innovation</w:t>
            </w:r>
          </w:p>
        </w:tc>
        <w:tc>
          <w:tcPr>
            <w:tcW w:w="4020" w:type="dxa"/>
          </w:tcPr>
          <w:p w:rsidR="00954622" w:rsidRPr="00585B8B" w:rsidRDefault="008413B7" w:rsidP="00585B8B">
            <w:pPr>
              <w:jc w:val="both"/>
              <w:rPr>
                <w:rFonts w:ascii="Arial" w:hAnsi="Arial" w:cs="Arial"/>
                <w:sz w:val="20"/>
                <w:szCs w:val="20"/>
              </w:rPr>
            </w:pPr>
            <w:r w:rsidRPr="00585B8B">
              <w:rPr>
                <w:rFonts w:ascii="Arial" w:hAnsi="Arial" w:cs="Arial"/>
                <w:sz w:val="20"/>
                <w:szCs w:val="20"/>
              </w:rPr>
              <w:t>1 recommendation on the approval of sponsorship agreements</w:t>
            </w:r>
          </w:p>
        </w:tc>
        <w:tc>
          <w:tcPr>
            <w:tcW w:w="2430" w:type="dxa"/>
            <w:gridSpan w:val="2"/>
          </w:tcPr>
          <w:p w:rsidR="00954622" w:rsidRPr="00585B8B" w:rsidRDefault="008413B7" w:rsidP="00585B8B">
            <w:pPr>
              <w:jc w:val="both"/>
              <w:rPr>
                <w:rFonts w:ascii="Arial" w:hAnsi="Arial" w:cs="Arial"/>
                <w:b/>
                <w:sz w:val="20"/>
                <w:szCs w:val="20"/>
              </w:rPr>
            </w:pPr>
            <w:r w:rsidRPr="00585B8B">
              <w:rPr>
                <w:rFonts w:ascii="Arial" w:hAnsi="Arial" w:cs="Arial"/>
                <w:b/>
                <w:sz w:val="20"/>
                <w:szCs w:val="20"/>
              </w:rPr>
              <w:t>To be implemented</w:t>
            </w:r>
          </w:p>
        </w:tc>
        <w:tc>
          <w:tcPr>
            <w:tcW w:w="3870" w:type="dxa"/>
            <w:gridSpan w:val="2"/>
          </w:tcPr>
          <w:p w:rsidR="00954622" w:rsidRPr="00585B8B" w:rsidRDefault="00366D0C" w:rsidP="00585B8B">
            <w:pPr>
              <w:jc w:val="both"/>
              <w:rPr>
                <w:rFonts w:ascii="Arial" w:hAnsi="Arial" w:cs="Arial"/>
                <w:sz w:val="20"/>
                <w:szCs w:val="20"/>
              </w:rPr>
            </w:pPr>
            <w:r w:rsidRPr="00585B8B">
              <w:rPr>
                <w:rFonts w:ascii="Arial" w:hAnsi="Arial" w:cs="Arial"/>
                <w:sz w:val="20"/>
                <w:szCs w:val="20"/>
              </w:rPr>
              <w:t xml:space="preserve">The Report was delivered on 02 August 2019. The 30 days </w:t>
            </w:r>
            <w:r w:rsidR="00585B8B" w:rsidRPr="00585B8B">
              <w:rPr>
                <w:rFonts w:ascii="Arial" w:hAnsi="Arial" w:cs="Arial"/>
                <w:sz w:val="20"/>
                <w:szCs w:val="20"/>
              </w:rPr>
              <w:t xml:space="preserve">to respond to the PSC </w:t>
            </w:r>
            <w:r w:rsidRPr="00585B8B">
              <w:rPr>
                <w:rFonts w:ascii="Arial" w:hAnsi="Arial" w:cs="Arial"/>
                <w:sz w:val="20"/>
                <w:szCs w:val="20"/>
              </w:rPr>
              <w:t>has not yet lapsed.</w:t>
            </w:r>
          </w:p>
        </w:tc>
      </w:tr>
      <w:tr w:rsidR="00151DA5" w:rsidRPr="00585B8B" w:rsidTr="00585B8B">
        <w:trPr>
          <w:gridAfter w:val="1"/>
          <w:wAfter w:w="74" w:type="dxa"/>
        </w:trPr>
        <w:tc>
          <w:tcPr>
            <w:tcW w:w="14130" w:type="dxa"/>
            <w:gridSpan w:val="7"/>
            <w:shd w:val="clear" w:color="auto" w:fill="C5E0B3" w:themeFill="accent6" w:themeFillTint="66"/>
          </w:tcPr>
          <w:p w:rsidR="00151DA5" w:rsidRPr="00585B8B" w:rsidRDefault="00151DA5" w:rsidP="00585B8B">
            <w:pPr>
              <w:jc w:val="center"/>
              <w:rPr>
                <w:rFonts w:ascii="Arial" w:hAnsi="Arial" w:cs="Arial"/>
                <w:b/>
                <w:sz w:val="20"/>
                <w:szCs w:val="20"/>
              </w:rPr>
            </w:pPr>
            <w:r w:rsidRPr="00585B8B">
              <w:rPr>
                <w:rFonts w:ascii="Arial" w:hAnsi="Arial" w:cs="Arial"/>
                <w:b/>
                <w:sz w:val="20"/>
                <w:szCs w:val="20"/>
              </w:rPr>
              <w:t>Grievances</w:t>
            </w:r>
          </w:p>
        </w:tc>
      </w:tr>
      <w:tr w:rsidR="00151DA5" w:rsidRPr="00585B8B" w:rsidTr="00585B8B">
        <w:tc>
          <w:tcPr>
            <w:tcW w:w="2042" w:type="dxa"/>
            <w:vMerge w:val="restart"/>
          </w:tcPr>
          <w:p w:rsidR="00151DA5" w:rsidRPr="00585B8B" w:rsidRDefault="00151DA5" w:rsidP="00585B8B">
            <w:pPr>
              <w:jc w:val="both"/>
              <w:rPr>
                <w:rFonts w:ascii="Arial" w:hAnsi="Arial" w:cs="Arial"/>
                <w:sz w:val="20"/>
                <w:szCs w:val="20"/>
              </w:rPr>
            </w:pPr>
            <w:r w:rsidRPr="00585B8B">
              <w:rPr>
                <w:rFonts w:ascii="Arial" w:hAnsi="Arial" w:cs="Arial"/>
                <w:sz w:val="20"/>
                <w:szCs w:val="20"/>
              </w:rPr>
              <w:t>Several investigations of the grievances of employees in the public service</w:t>
            </w:r>
          </w:p>
        </w:tc>
        <w:tc>
          <w:tcPr>
            <w:tcW w:w="1768" w:type="dxa"/>
            <w:vMerge w:val="restart"/>
            <w:shd w:val="clear" w:color="auto" w:fill="FFFFFF" w:themeFill="background1"/>
          </w:tcPr>
          <w:p w:rsidR="00151DA5" w:rsidRPr="00585B8B" w:rsidRDefault="00151DA5" w:rsidP="00585B8B">
            <w:pPr>
              <w:jc w:val="both"/>
              <w:rPr>
                <w:rFonts w:ascii="Arial" w:hAnsi="Arial" w:cs="Arial"/>
                <w:sz w:val="20"/>
                <w:szCs w:val="20"/>
              </w:rPr>
            </w:pPr>
            <w:r w:rsidRPr="00585B8B">
              <w:rPr>
                <w:rFonts w:ascii="Arial" w:hAnsi="Arial" w:cs="Arial"/>
                <w:sz w:val="20"/>
                <w:szCs w:val="20"/>
              </w:rPr>
              <w:t>Several departments</w:t>
            </w:r>
          </w:p>
        </w:tc>
        <w:tc>
          <w:tcPr>
            <w:tcW w:w="4020" w:type="dxa"/>
            <w:vMerge w:val="restart"/>
          </w:tcPr>
          <w:p w:rsidR="00151DA5" w:rsidRPr="00585B8B" w:rsidRDefault="00151DA5" w:rsidP="00585B8B">
            <w:pPr>
              <w:jc w:val="both"/>
              <w:rPr>
                <w:rFonts w:ascii="Arial" w:hAnsi="Arial" w:cs="Arial"/>
                <w:sz w:val="20"/>
                <w:szCs w:val="20"/>
              </w:rPr>
            </w:pPr>
            <w:r w:rsidRPr="00585B8B">
              <w:rPr>
                <w:rFonts w:ascii="Arial" w:hAnsi="Arial" w:cs="Arial"/>
                <w:sz w:val="20"/>
                <w:szCs w:val="20"/>
              </w:rPr>
              <w:t>Recommendations were made to address the grievances of the effected employees.</w:t>
            </w:r>
          </w:p>
        </w:tc>
        <w:tc>
          <w:tcPr>
            <w:tcW w:w="2268" w:type="dxa"/>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Implemented</w:t>
            </w:r>
          </w:p>
        </w:tc>
        <w:tc>
          <w:tcPr>
            <w:tcW w:w="236" w:type="dxa"/>
            <w:gridSpan w:val="2"/>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7</w:t>
            </w:r>
          </w:p>
        </w:tc>
        <w:tc>
          <w:tcPr>
            <w:tcW w:w="3870" w:type="dxa"/>
            <w:gridSpan w:val="2"/>
            <w:vMerge w:val="restart"/>
          </w:tcPr>
          <w:p w:rsidR="00151DA5" w:rsidRPr="00585B8B" w:rsidRDefault="00151DA5" w:rsidP="00585B8B">
            <w:pPr>
              <w:jc w:val="both"/>
              <w:rPr>
                <w:rFonts w:ascii="Arial" w:hAnsi="Arial" w:cs="Arial"/>
                <w:sz w:val="20"/>
                <w:szCs w:val="20"/>
              </w:rPr>
            </w:pPr>
            <w:r w:rsidRPr="00585B8B">
              <w:rPr>
                <w:rFonts w:ascii="Arial" w:hAnsi="Arial" w:cs="Arial"/>
                <w:sz w:val="20"/>
                <w:szCs w:val="20"/>
              </w:rPr>
              <w:t>Implementation of recommendations contributes towards compliance with policy, builds sound relations between the employer and employees</w:t>
            </w:r>
            <w:r w:rsidR="00585B8B" w:rsidRPr="00585B8B">
              <w:rPr>
                <w:rFonts w:ascii="Arial" w:hAnsi="Arial" w:cs="Arial"/>
                <w:sz w:val="20"/>
                <w:szCs w:val="20"/>
              </w:rPr>
              <w:t>,</w:t>
            </w:r>
            <w:r w:rsidRPr="00585B8B">
              <w:rPr>
                <w:rFonts w:ascii="Arial" w:hAnsi="Arial" w:cs="Arial"/>
                <w:sz w:val="20"/>
                <w:szCs w:val="20"/>
              </w:rPr>
              <w:t xml:space="preserve"> and contributes towards employee productivity.</w:t>
            </w:r>
          </w:p>
          <w:p w:rsidR="00DD63B6" w:rsidRPr="00585B8B" w:rsidRDefault="00DD63B6" w:rsidP="00585B8B">
            <w:pPr>
              <w:jc w:val="both"/>
              <w:rPr>
                <w:rFonts w:ascii="Arial" w:hAnsi="Arial" w:cs="Arial"/>
                <w:sz w:val="20"/>
                <w:szCs w:val="20"/>
              </w:rPr>
            </w:pPr>
          </w:p>
          <w:p w:rsidR="00DD63B6" w:rsidRPr="00585B8B" w:rsidRDefault="00DD63B6" w:rsidP="00585B8B">
            <w:pPr>
              <w:jc w:val="both"/>
              <w:rPr>
                <w:rFonts w:ascii="Arial" w:hAnsi="Arial" w:cs="Arial"/>
                <w:sz w:val="20"/>
                <w:szCs w:val="20"/>
              </w:rPr>
            </w:pPr>
            <w:r w:rsidRPr="00585B8B">
              <w:rPr>
                <w:rFonts w:ascii="Arial" w:hAnsi="Arial" w:cs="Arial"/>
                <w:sz w:val="20"/>
                <w:szCs w:val="20"/>
              </w:rPr>
              <w:t xml:space="preserve">In the case of the two recommendations that were not implemented, the EAs disagreed with the PSC’s recommendations and </w:t>
            </w:r>
            <w:r w:rsidR="007B7FDA" w:rsidRPr="00585B8B">
              <w:rPr>
                <w:rFonts w:ascii="Arial" w:hAnsi="Arial" w:cs="Arial"/>
                <w:sz w:val="20"/>
                <w:szCs w:val="20"/>
              </w:rPr>
              <w:t xml:space="preserve">provided reasons for </w:t>
            </w:r>
            <w:r w:rsidR="00432682" w:rsidRPr="00585B8B">
              <w:rPr>
                <w:rFonts w:ascii="Arial" w:hAnsi="Arial" w:cs="Arial"/>
                <w:sz w:val="20"/>
                <w:szCs w:val="20"/>
              </w:rPr>
              <w:t xml:space="preserve">the </w:t>
            </w:r>
            <w:r w:rsidR="007B7FDA" w:rsidRPr="00585B8B">
              <w:rPr>
                <w:rFonts w:ascii="Arial" w:hAnsi="Arial" w:cs="Arial"/>
                <w:sz w:val="20"/>
                <w:szCs w:val="20"/>
              </w:rPr>
              <w:t>disagreement</w:t>
            </w:r>
            <w:r w:rsidR="00432682" w:rsidRPr="00585B8B">
              <w:rPr>
                <w:rFonts w:ascii="Arial" w:hAnsi="Arial" w:cs="Arial"/>
                <w:sz w:val="20"/>
                <w:szCs w:val="20"/>
              </w:rPr>
              <w:t>.</w:t>
            </w:r>
            <w:r w:rsidRPr="00585B8B">
              <w:rPr>
                <w:rFonts w:ascii="Arial" w:hAnsi="Arial" w:cs="Arial"/>
                <w:sz w:val="20"/>
                <w:szCs w:val="20"/>
              </w:rPr>
              <w:t xml:space="preserve"> </w:t>
            </w:r>
            <w:r w:rsidR="00585B8B" w:rsidRPr="00585B8B">
              <w:rPr>
                <w:rFonts w:ascii="Arial" w:hAnsi="Arial" w:cs="Arial"/>
                <w:sz w:val="20"/>
                <w:szCs w:val="20"/>
              </w:rPr>
              <w:t>Aggrieved</w:t>
            </w:r>
            <w:r w:rsidRPr="00585B8B">
              <w:rPr>
                <w:rFonts w:ascii="Arial" w:hAnsi="Arial" w:cs="Arial"/>
                <w:sz w:val="20"/>
                <w:szCs w:val="20"/>
              </w:rPr>
              <w:t xml:space="preserve"> employees </w:t>
            </w:r>
            <w:r w:rsidR="00585B8B" w:rsidRPr="00585B8B">
              <w:rPr>
                <w:rFonts w:ascii="Arial" w:hAnsi="Arial" w:cs="Arial"/>
                <w:sz w:val="20"/>
                <w:szCs w:val="20"/>
              </w:rPr>
              <w:t>have the right to declare disputes should the disagree with the outcome of the process. I</w:t>
            </w:r>
            <w:r w:rsidRPr="00585B8B">
              <w:rPr>
                <w:rFonts w:ascii="Arial" w:hAnsi="Arial" w:cs="Arial"/>
                <w:sz w:val="20"/>
                <w:szCs w:val="20"/>
              </w:rPr>
              <w:t xml:space="preserve">n many instances the PSC’s findings </w:t>
            </w:r>
            <w:r w:rsidR="00585B8B" w:rsidRPr="00585B8B">
              <w:rPr>
                <w:rFonts w:ascii="Arial" w:hAnsi="Arial" w:cs="Arial"/>
                <w:sz w:val="20"/>
                <w:szCs w:val="20"/>
              </w:rPr>
              <w:t xml:space="preserve">are confirmed by dispute resolution bodies </w:t>
            </w:r>
            <w:r w:rsidRPr="00585B8B">
              <w:rPr>
                <w:rFonts w:ascii="Arial" w:hAnsi="Arial" w:cs="Arial"/>
                <w:sz w:val="20"/>
                <w:szCs w:val="20"/>
              </w:rPr>
              <w:t>and the employees are then given awards which are enforceable.</w:t>
            </w:r>
          </w:p>
        </w:tc>
      </w:tr>
      <w:tr w:rsidR="00151DA5" w:rsidRPr="00585B8B" w:rsidTr="00585B8B">
        <w:tc>
          <w:tcPr>
            <w:tcW w:w="2042" w:type="dxa"/>
            <w:vMerge/>
          </w:tcPr>
          <w:p w:rsidR="00151DA5" w:rsidRPr="00585B8B" w:rsidRDefault="00151DA5" w:rsidP="00585B8B">
            <w:pPr>
              <w:jc w:val="both"/>
              <w:rPr>
                <w:rFonts w:ascii="Arial" w:hAnsi="Arial" w:cs="Arial"/>
                <w:sz w:val="20"/>
                <w:szCs w:val="20"/>
              </w:rPr>
            </w:pPr>
          </w:p>
        </w:tc>
        <w:tc>
          <w:tcPr>
            <w:tcW w:w="1768" w:type="dxa"/>
            <w:vMerge/>
            <w:shd w:val="clear" w:color="auto" w:fill="FFFFFF" w:themeFill="background1"/>
          </w:tcPr>
          <w:p w:rsidR="00151DA5" w:rsidRPr="00585B8B" w:rsidRDefault="00151DA5" w:rsidP="00585B8B">
            <w:pPr>
              <w:jc w:val="both"/>
              <w:rPr>
                <w:rFonts w:ascii="Arial" w:hAnsi="Arial" w:cs="Arial"/>
                <w:sz w:val="20"/>
                <w:szCs w:val="20"/>
              </w:rPr>
            </w:pPr>
          </w:p>
        </w:tc>
        <w:tc>
          <w:tcPr>
            <w:tcW w:w="4020" w:type="dxa"/>
            <w:vMerge/>
          </w:tcPr>
          <w:p w:rsidR="00151DA5" w:rsidRPr="00585B8B" w:rsidRDefault="00151DA5" w:rsidP="00585B8B">
            <w:pPr>
              <w:jc w:val="both"/>
              <w:rPr>
                <w:rFonts w:ascii="Arial" w:hAnsi="Arial" w:cs="Arial"/>
                <w:sz w:val="20"/>
                <w:szCs w:val="20"/>
              </w:rPr>
            </w:pPr>
          </w:p>
        </w:tc>
        <w:tc>
          <w:tcPr>
            <w:tcW w:w="2268" w:type="dxa"/>
          </w:tcPr>
          <w:p w:rsidR="00151DA5" w:rsidRPr="00585B8B" w:rsidRDefault="00DD63B6" w:rsidP="00585B8B">
            <w:pPr>
              <w:jc w:val="both"/>
              <w:rPr>
                <w:rFonts w:ascii="Arial" w:hAnsi="Arial" w:cs="Arial"/>
                <w:b/>
                <w:sz w:val="20"/>
                <w:szCs w:val="20"/>
              </w:rPr>
            </w:pPr>
            <w:r w:rsidRPr="00585B8B">
              <w:rPr>
                <w:rFonts w:ascii="Arial" w:hAnsi="Arial" w:cs="Arial"/>
                <w:b/>
                <w:sz w:val="20"/>
                <w:szCs w:val="20"/>
              </w:rPr>
              <w:t>Partially i</w:t>
            </w:r>
            <w:r w:rsidR="00151DA5" w:rsidRPr="00585B8B">
              <w:rPr>
                <w:rFonts w:ascii="Arial" w:hAnsi="Arial" w:cs="Arial"/>
                <w:b/>
                <w:sz w:val="20"/>
                <w:szCs w:val="20"/>
              </w:rPr>
              <w:t>mplemented</w:t>
            </w:r>
          </w:p>
        </w:tc>
        <w:tc>
          <w:tcPr>
            <w:tcW w:w="236" w:type="dxa"/>
            <w:gridSpan w:val="2"/>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2</w:t>
            </w:r>
          </w:p>
        </w:tc>
        <w:tc>
          <w:tcPr>
            <w:tcW w:w="3870" w:type="dxa"/>
            <w:gridSpan w:val="2"/>
            <w:vMerge/>
          </w:tcPr>
          <w:p w:rsidR="00151DA5" w:rsidRPr="00585B8B" w:rsidRDefault="00151DA5" w:rsidP="00585B8B">
            <w:pPr>
              <w:jc w:val="both"/>
              <w:rPr>
                <w:rFonts w:ascii="Arial" w:hAnsi="Arial" w:cs="Arial"/>
                <w:sz w:val="20"/>
                <w:szCs w:val="20"/>
              </w:rPr>
            </w:pPr>
          </w:p>
        </w:tc>
      </w:tr>
      <w:tr w:rsidR="00151DA5" w:rsidRPr="00585B8B" w:rsidTr="00585B8B">
        <w:tc>
          <w:tcPr>
            <w:tcW w:w="2042" w:type="dxa"/>
            <w:vMerge/>
          </w:tcPr>
          <w:p w:rsidR="00151DA5" w:rsidRPr="00585B8B" w:rsidRDefault="00151DA5" w:rsidP="00585B8B">
            <w:pPr>
              <w:jc w:val="both"/>
              <w:rPr>
                <w:rFonts w:ascii="Arial" w:hAnsi="Arial" w:cs="Arial"/>
                <w:sz w:val="20"/>
                <w:szCs w:val="20"/>
              </w:rPr>
            </w:pPr>
          </w:p>
        </w:tc>
        <w:tc>
          <w:tcPr>
            <w:tcW w:w="1768" w:type="dxa"/>
            <w:vMerge/>
            <w:shd w:val="clear" w:color="auto" w:fill="FFFFFF" w:themeFill="background1"/>
          </w:tcPr>
          <w:p w:rsidR="00151DA5" w:rsidRPr="00585B8B" w:rsidRDefault="00151DA5" w:rsidP="00585B8B">
            <w:pPr>
              <w:jc w:val="both"/>
              <w:rPr>
                <w:rFonts w:ascii="Arial" w:hAnsi="Arial" w:cs="Arial"/>
                <w:sz w:val="20"/>
                <w:szCs w:val="20"/>
              </w:rPr>
            </w:pPr>
          </w:p>
        </w:tc>
        <w:tc>
          <w:tcPr>
            <w:tcW w:w="4020" w:type="dxa"/>
            <w:vMerge/>
          </w:tcPr>
          <w:p w:rsidR="00151DA5" w:rsidRPr="00585B8B" w:rsidRDefault="00151DA5" w:rsidP="00585B8B">
            <w:pPr>
              <w:jc w:val="both"/>
              <w:rPr>
                <w:rFonts w:ascii="Arial" w:hAnsi="Arial" w:cs="Arial"/>
                <w:sz w:val="20"/>
                <w:szCs w:val="20"/>
              </w:rPr>
            </w:pPr>
          </w:p>
        </w:tc>
        <w:tc>
          <w:tcPr>
            <w:tcW w:w="2268" w:type="dxa"/>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Awaiting feedback from department</w:t>
            </w:r>
          </w:p>
        </w:tc>
        <w:tc>
          <w:tcPr>
            <w:tcW w:w="236" w:type="dxa"/>
            <w:gridSpan w:val="2"/>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35</w:t>
            </w:r>
          </w:p>
        </w:tc>
        <w:tc>
          <w:tcPr>
            <w:tcW w:w="3870" w:type="dxa"/>
            <w:gridSpan w:val="2"/>
            <w:vMerge/>
          </w:tcPr>
          <w:p w:rsidR="00151DA5" w:rsidRPr="00585B8B" w:rsidRDefault="00151DA5" w:rsidP="00585B8B">
            <w:pPr>
              <w:jc w:val="both"/>
              <w:rPr>
                <w:rFonts w:ascii="Arial" w:hAnsi="Arial" w:cs="Arial"/>
                <w:sz w:val="20"/>
                <w:szCs w:val="20"/>
              </w:rPr>
            </w:pPr>
          </w:p>
        </w:tc>
      </w:tr>
      <w:tr w:rsidR="00151DA5" w:rsidRPr="00585B8B" w:rsidTr="00585B8B">
        <w:tc>
          <w:tcPr>
            <w:tcW w:w="2042" w:type="dxa"/>
            <w:vMerge/>
          </w:tcPr>
          <w:p w:rsidR="00151DA5" w:rsidRPr="00585B8B" w:rsidRDefault="00151DA5" w:rsidP="00585B8B">
            <w:pPr>
              <w:jc w:val="both"/>
              <w:rPr>
                <w:rFonts w:ascii="Arial" w:hAnsi="Arial" w:cs="Arial"/>
                <w:sz w:val="20"/>
                <w:szCs w:val="20"/>
              </w:rPr>
            </w:pPr>
          </w:p>
        </w:tc>
        <w:tc>
          <w:tcPr>
            <w:tcW w:w="1768" w:type="dxa"/>
            <w:vMerge/>
            <w:shd w:val="clear" w:color="auto" w:fill="FFFFFF" w:themeFill="background1"/>
          </w:tcPr>
          <w:p w:rsidR="00151DA5" w:rsidRPr="00585B8B" w:rsidRDefault="00151DA5" w:rsidP="00585B8B">
            <w:pPr>
              <w:jc w:val="both"/>
              <w:rPr>
                <w:rFonts w:ascii="Arial" w:hAnsi="Arial" w:cs="Arial"/>
                <w:sz w:val="20"/>
                <w:szCs w:val="20"/>
              </w:rPr>
            </w:pPr>
          </w:p>
        </w:tc>
        <w:tc>
          <w:tcPr>
            <w:tcW w:w="4020" w:type="dxa"/>
            <w:vMerge/>
          </w:tcPr>
          <w:p w:rsidR="00151DA5" w:rsidRPr="00585B8B" w:rsidRDefault="00151DA5" w:rsidP="00585B8B">
            <w:pPr>
              <w:jc w:val="both"/>
              <w:rPr>
                <w:rFonts w:ascii="Arial" w:hAnsi="Arial" w:cs="Arial"/>
                <w:sz w:val="20"/>
                <w:szCs w:val="20"/>
              </w:rPr>
            </w:pPr>
          </w:p>
        </w:tc>
        <w:tc>
          <w:tcPr>
            <w:tcW w:w="2268" w:type="dxa"/>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Not implemented</w:t>
            </w:r>
          </w:p>
        </w:tc>
        <w:tc>
          <w:tcPr>
            <w:tcW w:w="236" w:type="dxa"/>
            <w:gridSpan w:val="2"/>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2</w:t>
            </w:r>
          </w:p>
        </w:tc>
        <w:tc>
          <w:tcPr>
            <w:tcW w:w="3870" w:type="dxa"/>
            <w:gridSpan w:val="2"/>
            <w:vMerge/>
          </w:tcPr>
          <w:p w:rsidR="00151DA5" w:rsidRPr="00585B8B" w:rsidRDefault="00151DA5" w:rsidP="00585B8B">
            <w:pPr>
              <w:jc w:val="both"/>
              <w:rPr>
                <w:rFonts w:ascii="Arial" w:hAnsi="Arial" w:cs="Arial"/>
                <w:sz w:val="20"/>
                <w:szCs w:val="20"/>
              </w:rPr>
            </w:pPr>
          </w:p>
        </w:tc>
      </w:tr>
      <w:tr w:rsidR="00151DA5" w:rsidRPr="00585B8B" w:rsidTr="00585B8B">
        <w:tc>
          <w:tcPr>
            <w:tcW w:w="2042" w:type="dxa"/>
            <w:vMerge/>
          </w:tcPr>
          <w:p w:rsidR="00151DA5" w:rsidRPr="00585B8B" w:rsidRDefault="00151DA5" w:rsidP="00585B8B">
            <w:pPr>
              <w:jc w:val="both"/>
              <w:rPr>
                <w:rFonts w:ascii="Arial" w:hAnsi="Arial" w:cs="Arial"/>
                <w:sz w:val="20"/>
                <w:szCs w:val="20"/>
              </w:rPr>
            </w:pPr>
          </w:p>
        </w:tc>
        <w:tc>
          <w:tcPr>
            <w:tcW w:w="1768" w:type="dxa"/>
            <w:vMerge/>
            <w:shd w:val="clear" w:color="auto" w:fill="FFFFFF" w:themeFill="background1"/>
          </w:tcPr>
          <w:p w:rsidR="00151DA5" w:rsidRPr="00585B8B" w:rsidRDefault="00151DA5" w:rsidP="00585B8B">
            <w:pPr>
              <w:jc w:val="both"/>
              <w:rPr>
                <w:rFonts w:ascii="Arial" w:hAnsi="Arial" w:cs="Arial"/>
                <w:sz w:val="20"/>
                <w:szCs w:val="20"/>
              </w:rPr>
            </w:pPr>
          </w:p>
        </w:tc>
        <w:tc>
          <w:tcPr>
            <w:tcW w:w="4020" w:type="dxa"/>
            <w:vMerge/>
          </w:tcPr>
          <w:p w:rsidR="00151DA5" w:rsidRPr="00585B8B" w:rsidRDefault="00151DA5" w:rsidP="00585B8B">
            <w:pPr>
              <w:jc w:val="both"/>
              <w:rPr>
                <w:rFonts w:ascii="Arial" w:hAnsi="Arial" w:cs="Arial"/>
                <w:sz w:val="20"/>
                <w:szCs w:val="20"/>
              </w:rPr>
            </w:pPr>
          </w:p>
        </w:tc>
        <w:tc>
          <w:tcPr>
            <w:tcW w:w="2268" w:type="dxa"/>
          </w:tcPr>
          <w:p w:rsidR="00151DA5" w:rsidRPr="00585B8B" w:rsidRDefault="00401C37" w:rsidP="00585B8B">
            <w:pPr>
              <w:jc w:val="both"/>
              <w:rPr>
                <w:rFonts w:ascii="Arial" w:hAnsi="Arial" w:cs="Arial"/>
                <w:b/>
                <w:sz w:val="20"/>
                <w:szCs w:val="20"/>
              </w:rPr>
            </w:pPr>
            <w:r w:rsidRPr="00585B8B">
              <w:rPr>
                <w:rFonts w:ascii="Arial" w:hAnsi="Arial" w:cs="Arial"/>
                <w:b/>
                <w:sz w:val="20"/>
                <w:szCs w:val="20"/>
              </w:rPr>
              <w:t>Total issued</w:t>
            </w:r>
          </w:p>
        </w:tc>
        <w:tc>
          <w:tcPr>
            <w:tcW w:w="236" w:type="dxa"/>
            <w:gridSpan w:val="2"/>
          </w:tcPr>
          <w:p w:rsidR="00151DA5" w:rsidRPr="00585B8B" w:rsidRDefault="00151DA5" w:rsidP="00585B8B">
            <w:pPr>
              <w:jc w:val="both"/>
              <w:rPr>
                <w:rFonts w:ascii="Arial" w:hAnsi="Arial" w:cs="Arial"/>
                <w:b/>
                <w:sz w:val="20"/>
                <w:szCs w:val="20"/>
              </w:rPr>
            </w:pPr>
            <w:r w:rsidRPr="00585B8B">
              <w:rPr>
                <w:rFonts w:ascii="Arial" w:hAnsi="Arial" w:cs="Arial"/>
                <w:b/>
                <w:sz w:val="20"/>
                <w:szCs w:val="20"/>
              </w:rPr>
              <w:t>46</w:t>
            </w:r>
          </w:p>
        </w:tc>
        <w:tc>
          <w:tcPr>
            <w:tcW w:w="3870" w:type="dxa"/>
            <w:gridSpan w:val="2"/>
            <w:vMerge/>
          </w:tcPr>
          <w:p w:rsidR="00151DA5" w:rsidRPr="00585B8B" w:rsidRDefault="00151DA5" w:rsidP="00585B8B">
            <w:pPr>
              <w:jc w:val="both"/>
              <w:rPr>
                <w:rFonts w:ascii="Arial" w:hAnsi="Arial" w:cs="Arial"/>
                <w:sz w:val="20"/>
                <w:szCs w:val="20"/>
              </w:rPr>
            </w:pPr>
          </w:p>
        </w:tc>
      </w:tr>
    </w:tbl>
    <w:p w:rsidR="00DA6802" w:rsidRDefault="00DA6802" w:rsidP="003934BB">
      <w:pPr>
        <w:spacing w:after="0" w:line="360" w:lineRule="auto"/>
        <w:rPr>
          <w:rFonts w:ascii="Arial" w:eastAsia="Calibri" w:hAnsi="Arial" w:cs="Arial"/>
          <w:b/>
        </w:rPr>
        <w:sectPr w:rsidR="00DA6802" w:rsidSect="00432682">
          <w:pgSz w:w="15840" w:h="12240" w:orient="landscape"/>
          <w:pgMar w:top="1440" w:right="1440" w:bottom="1440" w:left="1440" w:header="720" w:footer="720" w:gutter="0"/>
          <w:cols w:space="720"/>
          <w:docGrid w:linePitch="360"/>
        </w:sectPr>
      </w:pPr>
    </w:p>
    <w:p w:rsidR="00F75CA2" w:rsidRPr="00F75CA2" w:rsidRDefault="00F75CA2" w:rsidP="00F75CA2">
      <w:pPr>
        <w:rPr>
          <w:rFonts w:ascii="Arial" w:hAnsi="Arial" w:cs="Arial"/>
        </w:rPr>
      </w:pPr>
    </w:p>
    <w:sectPr w:rsidR="00F75CA2" w:rsidRPr="00F75CA2" w:rsidSect="00DA68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AF" w:rsidRDefault="00637FAF" w:rsidP="00710549">
      <w:pPr>
        <w:spacing w:after="0" w:line="240" w:lineRule="auto"/>
      </w:pPr>
      <w:r>
        <w:separator/>
      </w:r>
    </w:p>
  </w:endnote>
  <w:endnote w:type="continuationSeparator" w:id="0">
    <w:p w:rsidR="00637FAF" w:rsidRDefault="00637FAF" w:rsidP="0071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3024856"/>
      <w:docPartObj>
        <w:docPartGallery w:val="Page Numbers (Bottom of Page)"/>
        <w:docPartUnique/>
      </w:docPartObj>
    </w:sdtPr>
    <w:sdtEndPr>
      <w:rPr>
        <w:noProof/>
      </w:rPr>
    </w:sdtEndPr>
    <w:sdtContent>
      <w:p w:rsidR="00710549" w:rsidRDefault="00710549">
        <w:pPr>
          <w:pStyle w:val="Footer"/>
          <w:jc w:val="center"/>
        </w:pPr>
        <w:r>
          <w:fldChar w:fldCharType="begin"/>
        </w:r>
        <w:r>
          <w:instrText xml:space="preserve"> PAGE   \* MERGEFORMAT </w:instrText>
        </w:r>
        <w:r>
          <w:fldChar w:fldCharType="separate"/>
        </w:r>
        <w:r w:rsidR="00A7631F">
          <w:rPr>
            <w:noProof/>
          </w:rPr>
          <w:t>2</w:t>
        </w:r>
        <w:r>
          <w:rPr>
            <w:noProof/>
          </w:rPr>
          <w:fldChar w:fldCharType="end"/>
        </w:r>
      </w:p>
    </w:sdtContent>
  </w:sdt>
  <w:p w:rsidR="00710549" w:rsidRDefault="001F05A3">
    <w:pPr>
      <w:pStyle w:val="Footer"/>
    </w:pPr>
    <w:r>
      <w:t>Question 693</w:t>
    </w:r>
    <w:r w:rsidR="00DA6802">
      <w:t xml:space="preserve"> ask by Mrs MO Clarke (DA) to the Minister for Public Service and Administration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AF" w:rsidRDefault="00637FAF" w:rsidP="00710549">
      <w:pPr>
        <w:spacing w:after="0" w:line="240" w:lineRule="auto"/>
      </w:pPr>
      <w:r>
        <w:separator/>
      </w:r>
    </w:p>
  </w:footnote>
  <w:footnote w:type="continuationSeparator" w:id="0">
    <w:p w:rsidR="00637FAF" w:rsidRDefault="00637FAF" w:rsidP="007105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0DE6"/>
    <w:multiLevelType w:val="hybridMultilevel"/>
    <w:tmpl w:val="246E0B74"/>
    <w:lvl w:ilvl="0" w:tplc="56740F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8628A6"/>
    <w:multiLevelType w:val="hybridMultilevel"/>
    <w:tmpl w:val="7230FBAC"/>
    <w:lvl w:ilvl="0" w:tplc="C60689A8">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DF7FC9"/>
    <w:multiLevelType w:val="hybridMultilevel"/>
    <w:tmpl w:val="D6E47E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5562917"/>
    <w:multiLevelType w:val="hybridMultilevel"/>
    <w:tmpl w:val="B99870B2"/>
    <w:lvl w:ilvl="0" w:tplc="4BF8D3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5F35DE"/>
    <w:multiLevelType w:val="hybridMultilevel"/>
    <w:tmpl w:val="67524FB4"/>
    <w:lvl w:ilvl="0" w:tplc="3D9AADC2">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7C4EC9"/>
    <w:multiLevelType w:val="hybridMultilevel"/>
    <w:tmpl w:val="0A1644D0"/>
    <w:lvl w:ilvl="0" w:tplc="F3AA4E82">
      <w:start w:val="1"/>
      <w:numFmt w:val="decimal"/>
      <w:lvlText w:val="%1."/>
      <w:lvlJc w:val="left"/>
      <w:pPr>
        <w:ind w:left="360" w:hanging="36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297BBC"/>
    <w:multiLevelType w:val="hybridMultilevel"/>
    <w:tmpl w:val="EB30163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94D2B96"/>
    <w:multiLevelType w:val="hybridMultilevel"/>
    <w:tmpl w:val="E74014B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44EDF"/>
    <w:multiLevelType w:val="hybridMultilevel"/>
    <w:tmpl w:val="688C4DF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66B5325"/>
    <w:multiLevelType w:val="hybridMultilevel"/>
    <w:tmpl w:val="03FAFEF4"/>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7C331A"/>
    <w:multiLevelType w:val="hybridMultilevel"/>
    <w:tmpl w:val="3D5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023E6"/>
    <w:multiLevelType w:val="hybridMultilevel"/>
    <w:tmpl w:val="D6E47E7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5B8258A8"/>
    <w:multiLevelType w:val="hybridMultilevel"/>
    <w:tmpl w:val="35543C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D862BE2"/>
    <w:multiLevelType w:val="hybridMultilevel"/>
    <w:tmpl w:val="A20C0FFC"/>
    <w:lvl w:ilvl="0" w:tplc="4056A684">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FCC58AC"/>
    <w:multiLevelType w:val="hybridMultilevel"/>
    <w:tmpl w:val="051EA34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8A55A0"/>
    <w:multiLevelType w:val="hybridMultilevel"/>
    <w:tmpl w:val="3EC8EEB2"/>
    <w:lvl w:ilvl="0" w:tplc="1C090019">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76AC6A04"/>
    <w:multiLevelType w:val="hybridMultilevel"/>
    <w:tmpl w:val="5E1A7930"/>
    <w:lvl w:ilvl="0" w:tplc="CA0816A8">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11"/>
  </w:num>
  <w:num w:numId="5">
    <w:abstractNumId w:val="2"/>
  </w:num>
  <w:num w:numId="6">
    <w:abstractNumId w:val="15"/>
  </w:num>
  <w:num w:numId="7">
    <w:abstractNumId w:val="3"/>
  </w:num>
  <w:num w:numId="8">
    <w:abstractNumId w:val="0"/>
  </w:num>
  <w:num w:numId="9">
    <w:abstractNumId w:val="10"/>
  </w:num>
  <w:num w:numId="10">
    <w:abstractNumId w:val="7"/>
  </w:num>
  <w:num w:numId="11">
    <w:abstractNumId w:val="14"/>
  </w:num>
  <w:num w:numId="12">
    <w:abstractNumId w:val="6"/>
  </w:num>
  <w:num w:numId="13">
    <w:abstractNumId w:val="9"/>
  </w:num>
  <w:num w:numId="14">
    <w:abstractNumId w:val="12"/>
  </w:num>
  <w:num w:numId="15">
    <w:abstractNumId w:val="8"/>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E99"/>
    <w:rsid w:val="00053B2C"/>
    <w:rsid w:val="000A4473"/>
    <w:rsid w:val="000B5C6B"/>
    <w:rsid w:val="00107DC0"/>
    <w:rsid w:val="0012706E"/>
    <w:rsid w:val="00151DA5"/>
    <w:rsid w:val="00153644"/>
    <w:rsid w:val="0016243E"/>
    <w:rsid w:val="00172A96"/>
    <w:rsid w:val="001C628B"/>
    <w:rsid w:val="001D5CE7"/>
    <w:rsid w:val="001F05A3"/>
    <w:rsid w:val="001F71CF"/>
    <w:rsid w:val="0020402A"/>
    <w:rsid w:val="00237135"/>
    <w:rsid w:val="00237E99"/>
    <w:rsid w:val="00324E1E"/>
    <w:rsid w:val="00353C6B"/>
    <w:rsid w:val="0036359D"/>
    <w:rsid w:val="00366D0C"/>
    <w:rsid w:val="003934BB"/>
    <w:rsid w:val="003F5621"/>
    <w:rsid w:val="00401C37"/>
    <w:rsid w:val="00432682"/>
    <w:rsid w:val="00451DCC"/>
    <w:rsid w:val="004E35ED"/>
    <w:rsid w:val="004F1602"/>
    <w:rsid w:val="00502425"/>
    <w:rsid w:val="00504924"/>
    <w:rsid w:val="005468D7"/>
    <w:rsid w:val="00570B55"/>
    <w:rsid w:val="00585B8B"/>
    <w:rsid w:val="005C2F5B"/>
    <w:rsid w:val="00635D57"/>
    <w:rsid w:val="00637FAF"/>
    <w:rsid w:val="006547F6"/>
    <w:rsid w:val="006A4599"/>
    <w:rsid w:val="006F713C"/>
    <w:rsid w:val="007042FD"/>
    <w:rsid w:val="00710549"/>
    <w:rsid w:val="0073766B"/>
    <w:rsid w:val="00755AA3"/>
    <w:rsid w:val="007B7FDA"/>
    <w:rsid w:val="007E42B1"/>
    <w:rsid w:val="00814A2C"/>
    <w:rsid w:val="0083024F"/>
    <w:rsid w:val="008307F0"/>
    <w:rsid w:val="008344C4"/>
    <w:rsid w:val="00837436"/>
    <w:rsid w:val="008413B7"/>
    <w:rsid w:val="00897BBA"/>
    <w:rsid w:val="00924792"/>
    <w:rsid w:val="00941E2A"/>
    <w:rsid w:val="00954622"/>
    <w:rsid w:val="00964ECD"/>
    <w:rsid w:val="00965FE2"/>
    <w:rsid w:val="00A47AE3"/>
    <w:rsid w:val="00A7631F"/>
    <w:rsid w:val="00A83C73"/>
    <w:rsid w:val="00A85BC0"/>
    <w:rsid w:val="00A946EF"/>
    <w:rsid w:val="00AB208A"/>
    <w:rsid w:val="00AD0DC1"/>
    <w:rsid w:val="00AE206B"/>
    <w:rsid w:val="00BB6716"/>
    <w:rsid w:val="00C929AC"/>
    <w:rsid w:val="00CA5696"/>
    <w:rsid w:val="00D73C72"/>
    <w:rsid w:val="00DA6802"/>
    <w:rsid w:val="00DB10B6"/>
    <w:rsid w:val="00DB65D6"/>
    <w:rsid w:val="00DD63B6"/>
    <w:rsid w:val="00DE501E"/>
    <w:rsid w:val="00E7531A"/>
    <w:rsid w:val="00EA2885"/>
    <w:rsid w:val="00EA4FC9"/>
    <w:rsid w:val="00ED3D88"/>
    <w:rsid w:val="00EE6B3D"/>
    <w:rsid w:val="00F07697"/>
    <w:rsid w:val="00F202AD"/>
    <w:rsid w:val="00F32624"/>
    <w:rsid w:val="00F7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2F07E0-E6DC-4334-8F41-7A48A53EE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7E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List Paragraph 1"/>
    <w:basedOn w:val="Normal"/>
    <w:link w:val="ListParagraphChar"/>
    <w:uiPriority w:val="34"/>
    <w:qFormat/>
    <w:rsid w:val="00A85BC0"/>
    <w:pPr>
      <w:ind w:left="720"/>
      <w:contextualSpacing/>
    </w:pPr>
  </w:style>
  <w:style w:type="character" w:customStyle="1" w:styleId="ListParagraphChar">
    <w:name w:val="List Paragraph Char"/>
    <w:aliases w:val="List Paragraph 1 Char"/>
    <w:basedOn w:val="DefaultParagraphFont"/>
    <w:link w:val="ListParagraph"/>
    <w:uiPriority w:val="34"/>
    <w:locked/>
    <w:rsid w:val="00A85BC0"/>
  </w:style>
  <w:style w:type="paragraph" w:styleId="BalloonText">
    <w:name w:val="Balloon Text"/>
    <w:basedOn w:val="Normal"/>
    <w:link w:val="BalloonTextChar"/>
    <w:uiPriority w:val="99"/>
    <w:semiHidden/>
    <w:unhideWhenUsed/>
    <w:rsid w:val="00737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66B"/>
    <w:rPr>
      <w:rFonts w:ascii="Tahoma" w:hAnsi="Tahoma" w:cs="Tahoma"/>
      <w:sz w:val="16"/>
      <w:szCs w:val="16"/>
    </w:rPr>
  </w:style>
  <w:style w:type="paragraph" w:styleId="Header">
    <w:name w:val="header"/>
    <w:basedOn w:val="Normal"/>
    <w:link w:val="HeaderChar"/>
    <w:uiPriority w:val="99"/>
    <w:unhideWhenUsed/>
    <w:rsid w:val="0071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549"/>
  </w:style>
  <w:style w:type="paragraph" w:styleId="Footer">
    <w:name w:val="footer"/>
    <w:basedOn w:val="Normal"/>
    <w:link w:val="FooterChar"/>
    <w:uiPriority w:val="99"/>
    <w:unhideWhenUsed/>
    <w:rsid w:val="0071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549"/>
  </w:style>
  <w:style w:type="character" w:styleId="Hyperlink">
    <w:name w:val="Hyperlink"/>
    <w:basedOn w:val="DefaultParagraphFont"/>
    <w:uiPriority w:val="99"/>
    <w:unhideWhenUsed/>
    <w:rsid w:val="003934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4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6DB4D-1298-4523-9112-6631A70B8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2166</Words>
  <Characters>12350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Mathenjwa</dc:creator>
  <cp:lastModifiedBy>Vathiswa Somlota</cp:lastModifiedBy>
  <cp:revision>3</cp:revision>
  <cp:lastPrinted>2019-09-06T12:53:00Z</cp:lastPrinted>
  <dcterms:created xsi:type="dcterms:W3CDTF">2019-09-26T14:15:00Z</dcterms:created>
  <dcterms:modified xsi:type="dcterms:W3CDTF">2019-09-26T14:17:00Z</dcterms:modified>
</cp:coreProperties>
</file>