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691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70F3C">
        <w:rPr>
          <w:rFonts w:ascii="Arial" w:eastAsia="Arial Unicode MS" w:hAnsi="Arial" w:cs="Arial"/>
          <w:b/>
          <w:bCs/>
          <w:bdr w:val="nil"/>
          <w:lang w:val="en-US"/>
        </w:rPr>
        <w:t>4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6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C3318">
        <w:rPr>
          <w:rFonts w:ascii="Arial" w:eastAsia="Arial Unicode MS" w:hAnsi="Arial" w:cs="Arial"/>
          <w:b/>
          <w:bCs/>
          <w:bdr w:val="nil"/>
          <w:lang w:val="en-US"/>
        </w:rPr>
        <w:tab/>
        <w:t>5 April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770F3C" w:rsidRDefault="00770F3C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770F3C">
        <w:rPr>
          <w:rFonts w:ascii="Arial" w:eastAsia="Calibri" w:hAnsi="Arial" w:cs="Arial"/>
        </w:rPr>
        <w:t xml:space="preserve">What were the reasons for the delay in the publication of the tourism sector recovery report? </w:t>
      </w:r>
    </w:p>
    <w:p w:rsidR="003D4147" w:rsidRPr="003D4147" w:rsidRDefault="00770F3C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70F3C">
        <w:rPr>
          <w:rFonts w:ascii="Arial" w:eastAsia="Calibri" w:hAnsi="Arial" w:cs="Arial"/>
        </w:rPr>
        <w:t>NW829E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31677A" w:rsidRPr="0086541E" w:rsidRDefault="00E173CE" w:rsidP="00C52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86541E">
        <w:rPr>
          <w:rFonts w:ascii="Arial" w:eastAsia="Calibri" w:hAnsi="Arial" w:cs="Arial"/>
          <w:color w:val="000000" w:themeColor="text1"/>
          <w:lang w:val="en-GB"/>
        </w:rPr>
        <w:t xml:space="preserve">There were no delays in the publication of the tourism sector recovery report. 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 xml:space="preserve">The Tourism Sector Recovery Plan (TSRP) </w:t>
      </w:r>
      <w:r w:rsidR="00724F8C" w:rsidRPr="0086541E">
        <w:rPr>
          <w:rFonts w:ascii="Arial" w:eastAsia="Calibri" w:hAnsi="Arial" w:cs="Arial"/>
          <w:color w:val="000000" w:themeColor="text1"/>
          <w:lang w:val="en-GB"/>
        </w:rPr>
        <w:t xml:space="preserve">was developed as </w:t>
      </w:r>
      <w:r w:rsidR="00C521B7" w:rsidRPr="0086541E">
        <w:rPr>
          <w:rFonts w:ascii="Arial" w:eastAsia="Calibri" w:hAnsi="Arial" w:cs="Arial"/>
          <w:color w:val="000000" w:themeColor="text1"/>
          <w:lang w:val="en-GB"/>
        </w:rPr>
        <w:t xml:space="preserve">a </w:t>
      </w:r>
      <w:r w:rsidR="0086541E" w:rsidRPr="0086541E">
        <w:rPr>
          <w:rFonts w:ascii="Arial" w:eastAsia="Calibri" w:hAnsi="Arial" w:cs="Arial"/>
          <w:color w:val="000000" w:themeColor="text1"/>
          <w:lang w:val="en-GB"/>
        </w:rPr>
        <w:t>three-year</w:t>
      </w:r>
      <w:r w:rsidR="00BB36CF" w:rsidRPr="0086541E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 xml:space="preserve">sector-wide framework </w:t>
      </w:r>
      <w:r w:rsidR="00724F8C" w:rsidRPr="0086541E">
        <w:rPr>
          <w:rFonts w:ascii="Arial" w:eastAsia="Calibri" w:hAnsi="Arial" w:cs="Arial"/>
          <w:color w:val="000000" w:themeColor="text1"/>
          <w:lang w:val="en-GB"/>
        </w:rPr>
        <w:t xml:space="preserve">to guide the path to recovery from the 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 xml:space="preserve">COVID-19 </w:t>
      </w:r>
      <w:r w:rsidR="00724F8C" w:rsidRPr="0086541E">
        <w:rPr>
          <w:rFonts w:ascii="Arial" w:eastAsia="Calibri" w:hAnsi="Arial" w:cs="Arial"/>
          <w:color w:val="000000" w:themeColor="text1"/>
          <w:lang w:val="en-GB"/>
        </w:rPr>
        <w:t xml:space="preserve">pandemic. </w:t>
      </w:r>
      <w:r w:rsidR="003C7E1B" w:rsidRPr="0086541E">
        <w:rPr>
          <w:rFonts w:ascii="Arial" w:eastAsia="Calibri" w:hAnsi="Arial" w:cs="Arial"/>
          <w:color w:val="000000" w:themeColor="text1"/>
          <w:lang w:val="en-GB"/>
        </w:rPr>
        <w:t>The plan was published for public comments in August 2020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>,</w:t>
      </w:r>
      <w:r w:rsidR="003C7E1B" w:rsidRPr="0086541E">
        <w:rPr>
          <w:rFonts w:ascii="Arial" w:eastAsia="Calibri" w:hAnsi="Arial" w:cs="Arial"/>
          <w:color w:val="000000" w:themeColor="text1"/>
          <w:lang w:val="en-GB"/>
        </w:rPr>
        <w:t xml:space="preserve"> approved by Cabinet 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 xml:space="preserve">for implementation on </w:t>
      </w:r>
      <w:r w:rsidR="003C7E1B" w:rsidRPr="0086541E">
        <w:rPr>
          <w:rFonts w:ascii="Arial" w:eastAsia="Calibri" w:hAnsi="Arial" w:cs="Arial"/>
          <w:color w:val="000000" w:themeColor="text1"/>
          <w:lang w:val="en-GB"/>
        </w:rPr>
        <w:t>21 April 2021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 xml:space="preserve"> and launched by the Minister of Tourism on</w:t>
      </w:r>
      <w:r w:rsidR="003C7E1B" w:rsidRPr="0086541E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>22 April 2021</w:t>
      </w:r>
      <w:r w:rsidR="003C7E1B" w:rsidRPr="0086541E">
        <w:rPr>
          <w:rFonts w:ascii="Arial" w:eastAsia="Calibri" w:hAnsi="Arial" w:cs="Arial"/>
          <w:color w:val="000000" w:themeColor="text1"/>
          <w:lang w:val="en-GB"/>
        </w:rPr>
        <w:t xml:space="preserve">.  </w:t>
      </w:r>
      <w:r w:rsidR="00724F8C" w:rsidRPr="0086541E">
        <w:rPr>
          <w:rFonts w:ascii="Arial" w:eastAsia="Calibri" w:hAnsi="Arial" w:cs="Arial"/>
          <w:color w:val="000000" w:themeColor="text1"/>
          <w:lang w:val="en-GB"/>
        </w:rPr>
        <w:t>A critical approach to the plan was the involvement of public and private sector players in the drafting process and the allocation of act</w:t>
      </w:r>
      <w:r w:rsidR="0031677A" w:rsidRPr="0086541E">
        <w:rPr>
          <w:rFonts w:ascii="Arial" w:eastAsia="Calibri" w:hAnsi="Arial" w:cs="Arial"/>
          <w:color w:val="000000" w:themeColor="text1"/>
          <w:lang w:val="en-GB"/>
        </w:rPr>
        <w:t>ions to various partners as appropriate for the implementation</w:t>
      </w:r>
      <w:r w:rsidR="00724F8C" w:rsidRPr="0086541E">
        <w:rPr>
          <w:rFonts w:ascii="Arial" w:eastAsia="Calibri" w:hAnsi="Arial" w:cs="Arial"/>
          <w:color w:val="000000" w:themeColor="text1"/>
          <w:lang w:val="en-GB"/>
        </w:rPr>
        <w:t>.</w:t>
      </w:r>
    </w:p>
    <w:p w:rsidR="0031677A" w:rsidRPr="0086541E" w:rsidRDefault="0031677A" w:rsidP="00C52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</w:p>
    <w:p w:rsidR="0031677A" w:rsidRPr="0086541E" w:rsidRDefault="0031677A" w:rsidP="00C52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86541E">
        <w:rPr>
          <w:rFonts w:ascii="Arial" w:eastAsia="Calibri" w:hAnsi="Arial" w:cs="Arial"/>
          <w:color w:val="000000" w:themeColor="text1"/>
          <w:lang w:val="en-GB"/>
        </w:rPr>
        <w:t xml:space="preserve">For purposes of delivering on the </w:t>
      </w:r>
      <w:r w:rsidR="00CE3AD4" w:rsidRPr="0086541E">
        <w:rPr>
          <w:rFonts w:ascii="Arial" w:eastAsia="Calibri" w:hAnsi="Arial" w:cs="Arial"/>
          <w:color w:val="000000" w:themeColor="text1"/>
          <w:lang w:val="en-GB"/>
        </w:rPr>
        <w:t>P</w:t>
      </w:r>
      <w:r w:rsidRPr="0086541E">
        <w:rPr>
          <w:rFonts w:ascii="Arial" w:eastAsia="Calibri" w:hAnsi="Arial" w:cs="Arial"/>
          <w:color w:val="000000" w:themeColor="text1"/>
          <w:lang w:val="en-GB"/>
        </w:rPr>
        <w:t>lan, the Department of Tourism and its entity South African Tourism translated the relevant actions to the respective Annual Performance Plans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 xml:space="preserve"> of the 202</w:t>
      </w:r>
      <w:r w:rsidR="00C40FE4" w:rsidRPr="0086541E">
        <w:rPr>
          <w:rFonts w:ascii="Arial" w:eastAsia="Calibri" w:hAnsi="Arial" w:cs="Arial"/>
          <w:color w:val="000000" w:themeColor="text1"/>
          <w:lang w:val="en-GB"/>
        </w:rPr>
        <w:t>1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>/2</w:t>
      </w:r>
      <w:r w:rsidR="00C40FE4" w:rsidRPr="0086541E">
        <w:rPr>
          <w:rFonts w:ascii="Arial" w:eastAsia="Calibri" w:hAnsi="Arial" w:cs="Arial"/>
          <w:color w:val="000000" w:themeColor="text1"/>
          <w:lang w:val="en-GB"/>
        </w:rPr>
        <w:t>2</w:t>
      </w:r>
      <w:r w:rsidR="00A17BFA" w:rsidRPr="0086541E">
        <w:rPr>
          <w:rFonts w:ascii="Arial" w:eastAsia="Calibri" w:hAnsi="Arial" w:cs="Arial"/>
          <w:color w:val="000000" w:themeColor="text1"/>
          <w:lang w:val="en-GB"/>
        </w:rPr>
        <w:t xml:space="preserve"> and 2022/23 financial years and this will continue in 20</w:t>
      </w:r>
      <w:r w:rsidR="00BB36CF" w:rsidRPr="0086541E">
        <w:rPr>
          <w:rFonts w:ascii="Arial" w:eastAsia="Calibri" w:hAnsi="Arial" w:cs="Arial"/>
          <w:color w:val="000000" w:themeColor="text1"/>
          <w:lang w:val="en-GB"/>
        </w:rPr>
        <w:t>23/24</w:t>
      </w:r>
      <w:r w:rsidRPr="0086541E">
        <w:rPr>
          <w:rFonts w:ascii="Arial" w:eastAsia="Calibri" w:hAnsi="Arial" w:cs="Arial"/>
          <w:color w:val="000000" w:themeColor="text1"/>
          <w:lang w:val="en-GB"/>
        </w:rPr>
        <w:t xml:space="preserve">. </w:t>
      </w:r>
      <w:r w:rsidR="005A2261" w:rsidRPr="0086541E">
        <w:rPr>
          <w:rFonts w:ascii="Arial" w:eastAsia="Calibri" w:hAnsi="Arial" w:cs="Arial"/>
          <w:color w:val="000000" w:themeColor="text1"/>
          <w:lang w:val="en-GB"/>
        </w:rPr>
        <w:t xml:space="preserve">Progress on the relevant 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>plans thus gets reflected through quarterly reports tabled to Parliament on a regular basis.</w:t>
      </w:r>
      <w:r w:rsidR="00C521B7" w:rsidRPr="0086541E">
        <w:rPr>
          <w:rFonts w:ascii="Arial" w:eastAsia="Calibri" w:hAnsi="Arial" w:cs="Arial"/>
          <w:color w:val="000000" w:themeColor="text1"/>
          <w:lang w:val="en-GB"/>
        </w:rPr>
        <w:t xml:space="preserve"> As the plan is aligned to the Economic Recovery Plan,</w:t>
      </w:r>
      <w:r w:rsidR="001D22B7" w:rsidRPr="0086541E">
        <w:rPr>
          <w:rFonts w:ascii="Arial" w:eastAsia="Calibri" w:hAnsi="Arial" w:cs="Arial"/>
          <w:color w:val="000000" w:themeColor="text1"/>
          <w:lang w:val="en-GB"/>
        </w:rPr>
        <w:t xml:space="preserve"> quarterly reporting is also done by the Department into the </w:t>
      </w:r>
      <w:r w:rsidR="00BC070A" w:rsidRPr="0086541E">
        <w:rPr>
          <w:rFonts w:ascii="Arial" w:eastAsia="Calibri" w:hAnsi="Arial" w:cs="Arial"/>
          <w:color w:val="000000" w:themeColor="text1"/>
          <w:lang w:val="en-GB"/>
        </w:rPr>
        <w:t xml:space="preserve">Government </w:t>
      </w:r>
      <w:r w:rsidR="001D22B7" w:rsidRPr="0086541E">
        <w:rPr>
          <w:rFonts w:ascii="Arial" w:eastAsia="Calibri" w:hAnsi="Arial" w:cs="Arial"/>
          <w:color w:val="000000" w:themeColor="text1"/>
          <w:lang w:val="en-GB"/>
        </w:rPr>
        <w:t xml:space="preserve">Cluster system. </w:t>
      </w:r>
    </w:p>
    <w:p w:rsidR="0031677A" w:rsidRPr="0086541E" w:rsidRDefault="0031677A" w:rsidP="00C52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</w:p>
    <w:p w:rsidR="00AD50BE" w:rsidRPr="0086541E" w:rsidRDefault="00AD1AB8" w:rsidP="00C52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86541E">
        <w:rPr>
          <w:rFonts w:ascii="Arial" w:eastAsia="Calibri" w:hAnsi="Arial" w:cs="Arial"/>
          <w:color w:val="000000" w:themeColor="text1"/>
          <w:lang w:val="en-GB"/>
        </w:rPr>
        <w:t>In order to monitor implementation, t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he Department initiated the process of reporting by provinces and the private sector 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>on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 the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 xml:space="preserve"> three Pillars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, 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>seven Strategic Interventions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 and</w:t>
      </w:r>
      <w:r w:rsidR="00AD50BE" w:rsidRPr="0086541E">
        <w:rPr>
          <w:rFonts w:ascii="Arial" w:eastAsia="Calibri" w:hAnsi="Arial" w:cs="Arial"/>
          <w:color w:val="000000" w:themeColor="text1"/>
          <w:lang w:val="en-GB"/>
        </w:rPr>
        <w:t xml:space="preserve"> four Enablers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="00CE3AD4" w:rsidRPr="0086541E">
        <w:rPr>
          <w:rFonts w:ascii="Arial" w:eastAsia="Calibri" w:hAnsi="Arial" w:cs="Arial"/>
          <w:color w:val="000000" w:themeColor="text1"/>
          <w:lang w:val="en-GB"/>
        </w:rPr>
        <w:t xml:space="preserve">of the TSRP 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>as applicable. Th</w:t>
      </w:r>
      <w:r w:rsidR="00CE3AD4" w:rsidRPr="0086541E">
        <w:rPr>
          <w:rFonts w:ascii="Arial" w:eastAsia="Calibri" w:hAnsi="Arial" w:cs="Arial"/>
          <w:color w:val="000000" w:themeColor="text1"/>
          <w:lang w:val="en-GB"/>
        </w:rPr>
        <w:t xml:space="preserve">e information generated </w:t>
      </w:r>
      <w:r w:rsidRPr="0086541E">
        <w:rPr>
          <w:rFonts w:ascii="Arial" w:eastAsia="Calibri" w:hAnsi="Arial" w:cs="Arial"/>
          <w:color w:val="000000" w:themeColor="text1"/>
          <w:lang w:val="en-GB"/>
        </w:rPr>
        <w:t xml:space="preserve">is 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>synthesi</w:t>
      </w:r>
      <w:r w:rsidRPr="0086541E">
        <w:rPr>
          <w:rFonts w:ascii="Arial" w:eastAsia="Calibri" w:hAnsi="Arial" w:cs="Arial"/>
          <w:color w:val="000000" w:themeColor="text1"/>
          <w:lang w:val="en-GB"/>
        </w:rPr>
        <w:t xml:space="preserve">sed to help support 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overall reporting and is not envisaged to </w:t>
      </w:r>
      <w:r w:rsidR="00CE3AD4" w:rsidRPr="0086541E">
        <w:rPr>
          <w:rFonts w:ascii="Arial" w:eastAsia="Calibri" w:hAnsi="Arial" w:cs="Arial"/>
          <w:color w:val="000000" w:themeColor="text1"/>
          <w:lang w:val="en-GB"/>
        </w:rPr>
        <w:t xml:space="preserve">generate 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separate </w:t>
      </w:r>
      <w:r w:rsidR="00CE3AD4" w:rsidRPr="0086541E">
        <w:rPr>
          <w:rFonts w:ascii="Arial" w:eastAsia="Calibri" w:hAnsi="Arial" w:cs="Arial"/>
          <w:color w:val="000000" w:themeColor="text1"/>
          <w:lang w:val="en-GB"/>
        </w:rPr>
        <w:t>reports</w:t>
      </w:r>
      <w:r w:rsidR="00666D07" w:rsidRPr="0086541E">
        <w:rPr>
          <w:rFonts w:ascii="Arial" w:eastAsia="Calibri" w:hAnsi="Arial" w:cs="Arial"/>
          <w:color w:val="000000" w:themeColor="text1"/>
          <w:lang w:val="en-GB"/>
        </w:rPr>
        <w:t xml:space="preserve">. </w:t>
      </w:r>
    </w:p>
    <w:sectPr w:rsidR="00AD50BE" w:rsidRPr="0086541E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BD" w:rsidRDefault="00D50DBD">
      <w:pPr>
        <w:spacing w:after="0" w:line="240" w:lineRule="auto"/>
      </w:pPr>
      <w:r>
        <w:separator/>
      </w:r>
    </w:p>
  </w:endnote>
  <w:endnote w:type="continuationSeparator" w:id="0">
    <w:p w:rsidR="00D50DBD" w:rsidRDefault="00D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770F3C">
          <w:rPr>
            <w:rFonts w:ascii="Arial Narrow" w:hAnsi="Arial Narrow"/>
            <w:sz w:val="18"/>
            <w:szCs w:val="18"/>
          </w:rPr>
          <w:t>6</w:t>
        </w:r>
        <w:r w:rsidR="00B432FC">
          <w:rPr>
            <w:rFonts w:ascii="Arial Narrow" w:hAnsi="Arial Narrow"/>
            <w:sz w:val="18"/>
            <w:szCs w:val="18"/>
          </w:rPr>
          <w:t>9</w:t>
        </w:r>
        <w:r w:rsidR="00770F3C">
          <w:rPr>
            <w:rFonts w:ascii="Arial Narrow" w:hAnsi="Arial Narrow"/>
            <w:sz w:val="18"/>
            <w:szCs w:val="18"/>
          </w:rPr>
          <w:t>1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770F3C">
          <w:rPr>
            <w:rFonts w:ascii="Arial Narrow" w:hAnsi="Arial Narrow"/>
            <w:sz w:val="18"/>
            <w:szCs w:val="18"/>
          </w:rPr>
          <w:t>829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8D0624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8D0624" w:rsidRPr="00013AC6">
          <w:rPr>
            <w:rFonts w:ascii="Arial Narrow" w:hAnsi="Arial Narrow"/>
          </w:rPr>
          <w:fldChar w:fldCharType="separate"/>
        </w:r>
        <w:r w:rsidR="00011ABD">
          <w:rPr>
            <w:rFonts w:ascii="Arial Narrow" w:hAnsi="Arial Narrow"/>
            <w:noProof/>
          </w:rPr>
          <w:t>2</w:t>
        </w:r>
        <w:r w:rsidR="008D0624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D50DB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D50DBD">
    <w:pPr>
      <w:pStyle w:val="Footer1"/>
      <w:jc w:val="right"/>
    </w:pPr>
  </w:p>
  <w:p w:rsidR="001656DE" w:rsidRPr="006016C0" w:rsidRDefault="00770F3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691 (NW829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BD" w:rsidRDefault="00D50DBD">
      <w:pPr>
        <w:spacing w:after="0" w:line="240" w:lineRule="auto"/>
      </w:pPr>
      <w:r>
        <w:separator/>
      </w:r>
    </w:p>
  </w:footnote>
  <w:footnote w:type="continuationSeparator" w:id="0">
    <w:p w:rsidR="00D50DBD" w:rsidRDefault="00D5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ABD"/>
    <w:rsid w:val="00047D27"/>
    <w:rsid w:val="00076CE0"/>
    <w:rsid w:val="000857D8"/>
    <w:rsid w:val="000E3E94"/>
    <w:rsid w:val="000F1151"/>
    <w:rsid w:val="001059FF"/>
    <w:rsid w:val="00141A6F"/>
    <w:rsid w:val="00151D19"/>
    <w:rsid w:val="00165440"/>
    <w:rsid w:val="00175B5C"/>
    <w:rsid w:val="00193F9C"/>
    <w:rsid w:val="001B2BE2"/>
    <w:rsid w:val="001C7E21"/>
    <w:rsid w:val="001D22B7"/>
    <w:rsid w:val="001D5D77"/>
    <w:rsid w:val="002245E3"/>
    <w:rsid w:val="002C461C"/>
    <w:rsid w:val="002D3423"/>
    <w:rsid w:val="003032AF"/>
    <w:rsid w:val="0031677A"/>
    <w:rsid w:val="0035411E"/>
    <w:rsid w:val="003B3F96"/>
    <w:rsid w:val="003B5235"/>
    <w:rsid w:val="003C1B29"/>
    <w:rsid w:val="003C7E1B"/>
    <w:rsid w:val="003D3856"/>
    <w:rsid w:val="003D4147"/>
    <w:rsid w:val="003D7F28"/>
    <w:rsid w:val="00422408"/>
    <w:rsid w:val="00490A93"/>
    <w:rsid w:val="004A5358"/>
    <w:rsid w:val="004C4166"/>
    <w:rsid w:val="004F2C4A"/>
    <w:rsid w:val="004F54C9"/>
    <w:rsid w:val="00571FC5"/>
    <w:rsid w:val="005A2261"/>
    <w:rsid w:val="005F1119"/>
    <w:rsid w:val="006010A3"/>
    <w:rsid w:val="00615126"/>
    <w:rsid w:val="0061799C"/>
    <w:rsid w:val="006335F8"/>
    <w:rsid w:val="00661801"/>
    <w:rsid w:val="00666D07"/>
    <w:rsid w:val="00671F9F"/>
    <w:rsid w:val="006762F9"/>
    <w:rsid w:val="00693D14"/>
    <w:rsid w:val="00694D5D"/>
    <w:rsid w:val="006A6231"/>
    <w:rsid w:val="006B20E2"/>
    <w:rsid w:val="00724F8C"/>
    <w:rsid w:val="007345DF"/>
    <w:rsid w:val="007434D4"/>
    <w:rsid w:val="00765093"/>
    <w:rsid w:val="00770F3C"/>
    <w:rsid w:val="00777955"/>
    <w:rsid w:val="00782129"/>
    <w:rsid w:val="007A257C"/>
    <w:rsid w:val="00807DBA"/>
    <w:rsid w:val="00810D60"/>
    <w:rsid w:val="0081156D"/>
    <w:rsid w:val="008137D4"/>
    <w:rsid w:val="008477CB"/>
    <w:rsid w:val="00857212"/>
    <w:rsid w:val="00857718"/>
    <w:rsid w:val="0086541E"/>
    <w:rsid w:val="008A1044"/>
    <w:rsid w:val="008C442B"/>
    <w:rsid w:val="008D0624"/>
    <w:rsid w:val="009413A3"/>
    <w:rsid w:val="00950663"/>
    <w:rsid w:val="00977B49"/>
    <w:rsid w:val="009849DC"/>
    <w:rsid w:val="009863F2"/>
    <w:rsid w:val="009945BD"/>
    <w:rsid w:val="00A17BFA"/>
    <w:rsid w:val="00A354D3"/>
    <w:rsid w:val="00A96F2D"/>
    <w:rsid w:val="00AA5F57"/>
    <w:rsid w:val="00AD1AB8"/>
    <w:rsid w:val="00AD50BE"/>
    <w:rsid w:val="00B24E20"/>
    <w:rsid w:val="00B432FC"/>
    <w:rsid w:val="00BA7422"/>
    <w:rsid w:val="00BB36CF"/>
    <w:rsid w:val="00BC070A"/>
    <w:rsid w:val="00BC2731"/>
    <w:rsid w:val="00BF0C5E"/>
    <w:rsid w:val="00C03FFF"/>
    <w:rsid w:val="00C40FE4"/>
    <w:rsid w:val="00C521B7"/>
    <w:rsid w:val="00C601FD"/>
    <w:rsid w:val="00C73441"/>
    <w:rsid w:val="00C809F5"/>
    <w:rsid w:val="00CE0094"/>
    <w:rsid w:val="00CE1CD0"/>
    <w:rsid w:val="00CE3AD4"/>
    <w:rsid w:val="00CE42BA"/>
    <w:rsid w:val="00CE637C"/>
    <w:rsid w:val="00D319C1"/>
    <w:rsid w:val="00D350AE"/>
    <w:rsid w:val="00D44311"/>
    <w:rsid w:val="00D47B6A"/>
    <w:rsid w:val="00D50DBD"/>
    <w:rsid w:val="00D671A8"/>
    <w:rsid w:val="00D87EF1"/>
    <w:rsid w:val="00D9442B"/>
    <w:rsid w:val="00DA6EE7"/>
    <w:rsid w:val="00DB5186"/>
    <w:rsid w:val="00DB6BD3"/>
    <w:rsid w:val="00DC1973"/>
    <w:rsid w:val="00DD3F26"/>
    <w:rsid w:val="00DE4655"/>
    <w:rsid w:val="00E03CDF"/>
    <w:rsid w:val="00E07950"/>
    <w:rsid w:val="00E173CE"/>
    <w:rsid w:val="00E3127A"/>
    <w:rsid w:val="00E57333"/>
    <w:rsid w:val="00E665D2"/>
    <w:rsid w:val="00E8266D"/>
    <w:rsid w:val="00EC3318"/>
    <w:rsid w:val="00ED3EE4"/>
    <w:rsid w:val="00EE00ED"/>
    <w:rsid w:val="00F21DF9"/>
    <w:rsid w:val="00F37A82"/>
    <w:rsid w:val="00F51F48"/>
    <w:rsid w:val="00F73FDF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1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H S Winkler (DA) to ask the Minister of Tourism:  </vt:lpstr>
    </vt:vector>
  </TitlesOfParts>
  <Company>Toshiba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2022-03-23T08:41:00Z</cp:lastPrinted>
  <dcterms:created xsi:type="dcterms:W3CDTF">2022-04-07T11:05:00Z</dcterms:created>
  <dcterms:modified xsi:type="dcterms:W3CDTF">2022-04-07T11:05:00Z</dcterms:modified>
</cp:coreProperties>
</file>