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91" w:rsidRDefault="00091191" w:rsidP="00FF5B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ZA" w:eastAsia="en-ZA"/>
        </w:rPr>
        <w:drawing>
          <wp:anchor distT="57150" distB="57150" distL="57150" distR="57150" simplePos="0" relativeHeight="251658240" behindDoc="1" locked="0" layoutInCell="1" allowOverlap="1">
            <wp:simplePos x="0" y="0"/>
            <wp:positionH relativeFrom="margin">
              <wp:posOffset>2276475</wp:posOffset>
            </wp:positionH>
            <wp:positionV relativeFrom="page">
              <wp:posOffset>962025</wp:posOffset>
            </wp:positionV>
            <wp:extent cx="1095375" cy="13620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191" w:rsidRDefault="00091191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33B06" w:rsidRPr="00091191" w:rsidRDefault="00F33B06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F5BC5" w:rsidRPr="00F47308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MINISTRY OF POLICE</w:t>
      </w:r>
    </w:p>
    <w:p w:rsidR="00FF5BC5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REPUBLIC OF SOUTH AFRICA</w:t>
      </w:r>
    </w:p>
    <w:p w:rsidR="00091191" w:rsidRDefault="00091191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70544C" w:rsidRPr="00091191" w:rsidRDefault="0070544C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091191" w:rsidRDefault="00FF5BC5" w:rsidP="004620BB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 xml:space="preserve">Private Bag X463 </w:t>
      </w:r>
      <w:r w:rsidRPr="00F47308">
        <w:rPr>
          <w:rFonts w:ascii="Arial Narrow" w:hAnsi="Arial Narrow"/>
          <w:b/>
          <w:sz w:val="18"/>
          <w:szCs w:val="18"/>
        </w:rPr>
        <w:t>PRETORIA</w:t>
      </w:r>
      <w:r w:rsidRPr="00F47308">
        <w:rPr>
          <w:rFonts w:ascii="Arial Narrow" w:hAnsi="Arial Narrow"/>
          <w:sz w:val="18"/>
          <w:szCs w:val="18"/>
        </w:rPr>
        <w:t xml:space="preserve"> 0001, Telephone (012) 393 2800, Fax (012) 393 2819/20, Private Bag X9080 </w:t>
      </w:r>
      <w:r w:rsidRPr="00F47308">
        <w:rPr>
          <w:rFonts w:ascii="Arial Narrow" w:hAnsi="Arial Narrow"/>
          <w:b/>
          <w:sz w:val="18"/>
          <w:szCs w:val="18"/>
        </w:rPr>
        <w:t>CAPE TOWN</w:t>
      </w:r>
      <w:r w:rsidRPr="00F47308">
        <w:rPr>
          <w:rFonts w:ascii="Arial Narrow" w:hAnsi="Arial Narrow"/>
          <w:sz w:val="18"/>
          <w:szCs w:val="18"/>
        </w:rPr>
        <w:t xml:space="preserve"> 8000, </w:t>
      </w:r>
    </w:p>
    <w:p w:rsidR="00B53665" w:rsidRDefault="00FF5BC5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>Tel (021) 467 7021, Fax (021) 467 7033</w:t>
      </w:r>
    </w:p>
    <w:p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:rsidR="002561C9" w:rsidRPr="00EF4708" w:rsidRDefault="002561C9" w:rsidP="002561C9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EF4708">
        <w:rPr>
          <w:rFonts w:ascii="Arial" w:hAnsi="Arial" w:cs="Arial"/>
          <w:sz w:val="20"/>
          <w:szCs w:val="20"/>
        </w:rPr>
        <w:t>Enq</w:t>
      </w:r>
      <w:proofErr w:type="spellEnd"/>
      <w:r w:rsidRPr="00EF4708">
        <w:rPr>
          <w:rFonts w:ascii="Arial" w:hAnsi="Arial" w:cs="Arial"/>
          <w:sz w:val="20"/>
          <w:szCs w:val="20"/>
        </w:rPr>
        <w:tab/>
        <w:t>:</w:t>
      </w:r>
      <w:r w:rsidRPr="00EF4708">
        <w:rPr>
          <w:rFonts w:ascii="Arial" w:hAnsi="Arial" w:cs="Arial"/>
          <w:sz w:val="20"/>
          <w:szCs w:val="20"/>
        </w:rPr>
        <w:tab/>
      </w:r>
      <w:proofErr w:type="spellStart"/>
      <w:r w:rsidRPr="00EF4708">
        <w:rPr>
          <w:rFonts w:ascii="Arial" w:hAnsi="Arial" w:cs="Arial"/>
          <w:sz w:val="20"/>
          <w:szCs w:val="20"/>
        </w:rPr>
        <w:t>Mr</w:t>
      </w:r>
      <w:proofErr w:type="spellEnd"/>
      <w:r w:rsidRPr="00EF4708">
        <w:rPr>
          <w:rFonts w:ascii="Arial" w:hAnsi="Arial" w:cs="Arial"/>
          <w:sz w:val="20"/>
          <w:szCs w:val="20"/>
        </w:rPr>
        <w:t xml:space="preserve"> Thabo Kupa</w:t>
      </w:r>
    </w:p>
    <w:p w:rsidR="002561C9" w:rsidRPr="00EF4708" w:rsidRDefault="002561C9" w:rsidP="002561C9">
      <w:pPr>
        <w:jc w:val="both"/>
        <w:rPr>
          <w:rFonts w:ascii="Arial" w:hAnsi="Arial" w:cs="Arial"/>
          <w:sz w:val="20"/>
          <w:szCs w:val="20"/>
        </w:rPr>
      </w:pPr>
      <w:r w:rsidRPr="00EF4708">
        <w:rPr>
          <w:rFonts w:ascii="Arial" w:hAnsi="Arial" w:cs="Arial"/>
          <w:sz w:val="20"/>
          <w:szCs w:val="20"/>
        </w:rPr>
        <w:tab/>
      </w:r>
      <w:r w:rsidRPr="00EF4708">
        <w:rPr>
          <w:rFonts w:ascii="Arial" w:hAnsi="Arial" w:cs="Arial"/>
          <w:sz w:val="20"/>
          <w:szCs w:val="20"/>
        </w:rPr>
        <w:tab/>
      </w:r>
      <w:hyperlink r:id="rId8" w:history="1">
        <w:r w:rsidRPr="00EF4708">
          <w:rPr>
            <w:rStyle w:val="Hyperlink"/>
            <w:rFonts w:ascii="Arial" w:hAnsi="Arial" w:cs="Arial"/>
            <w:sz w:val="20"/>
            <w:szCs w:val="20"/>
          </w:rPr>
          <w:t>thabok@saps.gov.za</w:t>
        </w:r>
      </w:hyperlink>
    </w:p>
    <w:p w:rsidR="00B82272" w:rsidRDefault="002561C9" w:rsidP="002561C9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0765120462</w:t>
      </w:r>
    </w:p>
    <w:p w:rsidR="00CF39DB" w:rsidRDefault="00CF39DB" w:rsidP="00CF39DB">
      <w:pPr>
        <w:rPr>
          <w:rFonts w:ascii="Arial" w:hAnsi="Arial" w:cs="Arial"/>
        </w:rPr>
      </w:pPr>
    </w:p>
    <w:p w:rsidR="002471EC" w:rsidRPr="00307A5F" w:rsidRDefault="002471EC" w:rsidP="002471EC">
      <w:pPr>
        <w:ind w:left="720" w:right="-46" w:hanging="720"/>
        <w:jc w:val="right"/>
        <w:outlineLvl w:val="0"/>
        <w:rPr>
          <w:rFonts w:ascii="Arial" w:hAnsi="Arial" w:cs="Arial"/>
          <w:b/>
          <w:lang w:val="en-GB"/>
        </w:rPr>
      </w:pPr>
      <w:r w:rsidRPr="00307A5F">
        <w:rPr>
          <w:rFonts w:ascii="Arial" w:hAnsi="Arial" w:cs="Arial"/>
          <w:b/>
          <w:lang w:val="en-GB"/>
        </w:rPr>
        <w:t>36/1/4/1(2018)</w:t>
      </w:r>
    </w:p>
    <w:p w:rsidR="002471EC" w:rsidRPr="00307A5F" w:rsidRDefault="002471EC" w:rsidP="002471EC">
      <w:pPr>
        <w:ind w:left="720" w:hanging="720"/>
        <w:jc w:val="center"/>
        <w:outlineLvl w:val="0"/>
        <w:rPr>
          <w:rFonts w:ascii="Arial" w:hAnsi="Arial" w:cs="Arial"/>
          <w:b/>
          <w:lang w:val="en-GB"/>
        </w:rPr>
      </w:pPr>
      <w:r w:rsidRPr="00307A5F">
        <w:rPr>
          <w:rFonts w:ascii="Arial" w:hAnsi="Arial" w:cs="Arial"/>
          <w:b/>
          <w:lang w:val="en-GB"/>
        </w:rPr>
        <w:t>NATIONAL ASSEMBLY</w:t>
      </w:r>
    </w:p>
    <w:p w:rsidR="002471EC" w:rsidRPr="00307A5F" w:rsidRDefault="002471EC" w:rsidP="002471EC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2471EC" w:rsidRPr="00307A5F" w:rsidRDefault="002471EC" w:rsidP="002471EC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307A5F">
        <w:rPr>
          <w:rFonts w:ascii="Arial" w:hAnsi="Arial" w:cs="Arial"/>
          <w:b/>
          <w:u w:val="single"/>
          <w:lang w:val="en-GB"/>
        </w:rPr>
        <w:t>FOR WRITTEN REPLY</w:t>
      </w:r>
    </w:p>
    <w:p w:rsidR="002471EC" w:rsidRPr="00307A5F" w:rsidRDefault="002471EC" w:rsidP="002471EC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2471EC" w:rsidRPr="00307A5F" w:rsidRDefault="002471EC" w:rsidP="002471EC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307A5F">
        <w:rPr>
          <w:rFonts w:ascii="Arial" w:hAnsi="Arial" w:cs="Arial"/>
          <w:b/>
          <w:u w:val="single"/>
          <w:lang w:val="en-GB"/>
        </w:rPr>
        <w:t>QUESTION 69</w:t>
      </w:r>
    </w:p>
    <w:p w:rsidR="002471EC" w:rsidRPr="00307A5F" w:rsidRDefault="002471EC" w:rsidP="002471EC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2471EC" w:rsidRPr="00307A5F" w:rsidRDefault="002471EC" w:rsidP="002471EC">
      <w:pPr>
        <w:ind w:left="720" w:right="-188" w:hanging="720"/>
        <w:jc w:val="center"/>
        <w:outlineLvl w:val="0"/>
        <w:rPr>
          <w:rFonts w:ascii="Arial" w:hAnsi="Arial" w:cs="Arial"/>
          <w:b/>
          <w:u w:val="single"/>
          <w:lang w:val="en-GB"/>
        </w:rPr>
      </w:pPr>
      <w:r w:rsidRPr="00307A5F">
        <w:rPr>
          <w:rFonts w:ascii="Arial" w:hAnsi="Arial" w:cs="Arial"/>
          <w:b/>
          <w:u w:val="single"/>
          <w:lang w:val="en-GB"/>
        </w:rPr>
        <w:t>DATE OF PUBLICATION IN INTERNAL QUESTION PAPER: 8 FEBRUARY 2018</w:t>
      </w:r>
    </w:p>
    <w:p w:rsidR="002471EC" w:rsidRPr="00307A5F" w:rsidRDefault="002471EC" w:rsidP="002471EC">
      <w:pPr>
        <w:jc w:val="center"/>
        <w:rPr>
          <w:rFonts w:ascii="Arial" w:hAnsi="Arial" w:cs="Arial"/>
          <w:b/>
          <w:u w:val="single"/>
          <w:lang w:val="en-GB"/>
        </w:rPr>
      </w:pPr>
      <w:r w:rsidRPr="00307A5F">
        <w:rPr>
          <w:rFonts w:ascii="Arial" w:hAnsi="Arial" w:cs="Arial"/>
          <w:b/>
          <w:u w:val="single"/>
          <w:lang w:val="en-GB"/>
        </w:rPr>
        <w:t>(INTERNAL QUESTION PAPER NO 1-2018)</w:t>
      </w:r>
    </w:p>
    <w:p w:rsidR="002471EC" w:rsidRPr="00307A5F" w:rsidRDefault="002471EC" w:rsidP="002471EC">
      <w:pPr>
        <w:ind w:left="720" w:hanging="720"/>
        <w:jc w:val="both"/>
        <w:outlineLvl w:val="0"/>
        <w:rPr>
          <w:rFonts w:ascii="Arial" w:hAnsi="Arial" w:cs="Arial"/>
          <w:b/>
          <w:lang w:val="en-GB"/>
        </w:rPr>
      </w:pPr>
    </w:p>
    <w:p w:rsidR="002471EC" w:rsidRPr="00307A5F" w:rsidRDefault="002471EC" w:rsidP="002471EC">
      <w:pPr>
        <w:ind w:left="720" w:hanging="720"/>
        <w:jc w:val="both"/>
        <w:outlineLvl w:val="0"/>
        <w:rPr>
          <w:rFonts w:ascii="Arial" w:hAnsi="Arial" w:cs="Arial"/>
          <w:b/>
          <w:lang w:val="en-GB"/>
        </w:rPr>
      </w:pPr>
      <w:r w:rsidRPr="00307A5F">
        <w:rPr>
          <w:rFonts w:ascii="Arial" w:hAnsi="Arial" w:cs="Arial"/>
          <w:b/>
          <w:lang w:val="en-GB"/>
        </w:rPr>
        <w:t>69.</w:t>
      </w:r>
      <w:r w:rsidRPr="00307A5F">
        <w:rPr>
          <w:rFonts w:ascii="Arial" w:hAnsi="Arial" w:cs="Arial"/>
          <w:b/>
          <w:lang w:val="en-GB"/>
        </w:rPr>
        <w:tab/>
        <w:t xml:space="preserve">Mr M W </w:t>
      </w:r>
      <w:proofErr w:type="spellStart"/>
      <w:r w:rsidRPr="00307A5F">
        <w:rPr>
          <w:rFonts w:ascii="Arial" w:hAnsi="Arial" w:cs="Arial"/>
          <w:b/>
          <w:lang w:val="en-GB"/>
        </w:rPr>
        <w:t>Rabotapi</w:t>
      </w:r>
      <w:proofErr w:type="spellEnd"/>
      <w:r w:rsidRPr="00307A5F">
        <w:rPr>
          <w:rFonts w:ascii="Arial" w:hAnsi="Arial" w:cs="Arial"/>
          <w:b/>
          <w:lang w:val="en-GB"/>
        </w:rPr>
        <w:t xml:space="preserve"> (DA) to ask the Minister of Police:</w:t>
      </w:r>
    </w:p>
    <w:p w:rsidR="002471EC" w:rsidRDefault="002471EC" w:rsidP="002471EC">
      <w:pPr>
        <w:jc w:val="both"/>
        <w:rPr>
          <w:rFonts w:ascii="Arial" w:hAnsi="Arial" w:cs="Arial"/>
          <w:iCs/>
        </w:rPr>
      </w:pPr>
    </w:p>
    <w:p w:rsidR="002471EC" w:rsidRDefault="002471EC" w:rsidP="002471EC">
      <w:pPr>
        <w:jc w:val="both"/>
        <w:rPr>
          <w:rFonts w:ascii="Arial" w:hAnsi="Arial" w:cs="Arial"/>
        </w:rPr>
      </w:pPr>
      <w:r w:rsidRPr="00307A5F">
        <w:rPr>
          <w:rFonts w:ascii="Arial" w:hAnsi="Arial" w:cs="Arial"/>
          <w:iCs/>
        </w:rPr>
        <w:t>(a) What number of disciplinary proceedings for noncompliance with the Domestic Violence Act, Act 116 of 1998, were instituted by the SA Police Service against its members (</w:t>
      </w:r>
      <w:proofErr w:type="spellStart"/>
      <w:r w:rsidRPr="00307A5F">
        <w:rPr>
          <w:rFonts w:ascii="Arial" w:hAnsi="Arial" w:cs="Arial"/>
          <w:iCs/>
        </w:rPr>
        <w:t>i</w:t>
      </w:r>
      <w:proofErr w:type="spellEnd"/>
      <w:r w:rsidRPr="00307A5F">
        <w:rPr>
          <w:rFonts w:ascii="Arial" w:hAnsi="Arial" w:cs="Arial"/>
          <w:iCs/>
        </w:rPr>
        <w:t>) in the (</w:t>
      </w:r>
      <w:proofErr w:type="spellStart"/>
      <w:r w:rsidRPr="00307A5F">
        <w:rPr>
          <w:rFonts w:ascii="Arial" w:hAnsi="Arial" w:cs="Arial"/>
          <w:iCs/>
        </w:rPr>
        <w:t>aa</w:t>
      </w:r>
      <w:proofErr w:type="spellEnd"/>
      <w:r w:rsidRPr="00307A5F">
        <w:rPr>
          <w:rFonts w:ascii="Arial" w:hAnsi="Arial" w:cs="Arial"/>
          <w:iCs/>
        </w:rPr>
        <w:t xml:space="preserve">) 2014-15, (bb) 2015-16 and (cc) 2016-17 financial years and (ii) since 1 April 2017 and (b) </w:t>
      </w:r>
      <w:r w:rsidRPr="00307A5F">
        <w:rPr>
          <w:rFonts w:ascii="Arial" w:hAnsi="Arial" w:cs="Arial"/>
        </w:rPr>
        <w:t>in</w:t>
      </w:r>
      <w:r w:rsidRPr="00307A5F">
        <w:rPr>
          <w:rFonts w:ascii="Arial" w:hAnsi="Arial" w:cs="Arial"/>
          <w:iCs/>
        </w:rPr>
        <w:t xml:space="preserve"> each case, what was the (</w:t>
      </w:r>
      <w:proofErr w:type="spellStart"/>
      <w:r w:rsidRPr="00307A5F">
        <w:rPr>
          <w:rFonts w:ascii="Arial" w:hAnsi="Arial" w:cs="Arial"/>
          <w:iCs/>
        </w:rPr>
        <w:t>i</w:t>
      </w:r>
      <w:proofErr w:type="spellEnd"/>
      <w:r w:rsidRPr="00307A5F">
        <w:rPr>
          <w:rFonts w:ascii="Arial" w:hAnsi="Arial" w:cs="Arial"/>
          <w:iCs/>
        </w:rPr>
        <w:t>) nature of the noncompliance and (ii) sanction imposed</w:t>
      </w:r>
      <w:r>
        <w:rPr>
          <w:rFonts w:ascii="Arial" w:hAnsi="Arial" w:cs="Arial"/>
        </w:rPr>
        <w:t>?</w:t>
      </w:r>
    </w:p>
    <w:p w:rsidR="002471EC" w:rsidRDefault="002471EC" w:rsidP="002471EC">
      <w:pPr>
        <w:jc w:val="right"/>
        <w:rPr>
          <w:rFonts w:ascii="Arial" w:hAnsi="Arial" w:cs="Arial"/>
          <w:color w:val="000000"/>
          <w:lang w:eastAsia="en-ZA"/>
        </w:rPr>
      </w:pPr>
      <w:r w:rsidRPr="00307A5F">
        <w:rPr>
          <w:rFonts w:ascii="Arial" w:hAnsi="Arial" w:cs="Arial"/>
          <w:color w:val="000000"/>
          <w:lang w:eastAsia="en-ZA"/>
        </w:rPr>
        <w:t>NW75E</w:t>
      </w:r>
    </w:p>
    <w:p w:rsidR="002471EC" w:rsidRDefault="002471EC" w:rsidP="002471EC">
      <w:pPr>
        <w:jc w:val="both"/>
        <w:rPr>
          <w:rFonts w:ascii="Arial" w:hAnsi="Arial" w:cs="Arial"/>
          <w:b/>
          <w:color w:val="000000"/>
          <w:lang w:eastAsia="en-ZA"/>
        </w:rPr>
      </w:pPr>
      <w:r w:rsidRPr="00307A5F">
        <w:rPr>
          <w:rFonts w:ascii="Arial" w:hAnsi="Arial" w:cs="Arial"/>
          <w:b/>
          <w:color w:val="000000"/>
          <w:lang w:eastAsia="en-ZA"/>
        </w:rPr>
        <w:t>REPLY:</w:t>
      </w:r>
    </w:p>
    <w:p w:rsidR="002471EC" w:rsidRPr="00307A5F" w:rsidRDefault="002471EC" w:rsidP="002471EC">
      <w:pPr>
        <w:jc w:val="both"/>
        <w:rPr>
          <w:rFonts w:ascii="Arial" w:hAnsi="Arial" w:cs="Arial"/>
          <w:b/>
          <w:color w:val="000000"/>
          <w:lang w:eastAsia="en-ZA"/>
        </w:rPr>
      </w:pP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1872"/>
        <w:gridCol w:w="3657"/>
        <w:gridCol w:w="3543"/>
      </w:tblGrid>
      <w:tr w:rsidR="002471EC" w:rsidTr="00B70060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2471EC" w:rsidRDefault="002471EC" w:rsidP="00B70060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af-ZA"/>
              </w:rPr>
              <w:t>(i)(aa)Reporting Period 1 April 2014 to 31 March 2015</w:t>
            </w:r>
          </w:p>
        </w:tc>
      </w:tr>
      <w:tr w:rsidR="002471EC" w:rsidTr="00B70060">
        <w:trPr>
          <w:trHeight w:val="76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471EC" w:rsidRDefault="002471EC" w:rsidP="00B70060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(a)Number of Disciplinary Proceedings Instituted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471EC" w:rsidRDefault="002471EC" w:rsidP="00B7006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af-ZA"/>
              </w:rPr>
              <w:t>(b) (i)Nature of  noncompliance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471EC" w:rsidRDefault="002471EC" w:rsidP="00B70060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af-ZA"/>
              </w:rPr>
              <w:t>(b) (ii) Sanctions imposed</w:t>
            </w:r>
          </w:p>
          <w:p w:rsidR="002471EC" w:rsidRDefault="002471EC" w:rsidP="00B700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471EC" w:rsidTr="00B70060">
        <w:trPr>
          <w:trHeight w:val="412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EC" w:rsidRDefault="002471EC" w:rsidP="00B70060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af-ZA"/>
              </w:rPr>
            </w:pPr>
          </w:p>
          <w:p w:rsidR="002471EC" w:rsidRDefault="002471EC" w:rsidP="00B70060">
            <w:pPr>
              <w:spacing w:line="256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af-ZA"/>
              </w:rPr>
              <w:t>1473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EC" w:rsidRDefault="002471EC" w:rsidP="00B70060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During this period, there was no reporting on administrative and service noncompliance. It was only introduced during the period </w:t>
            </w:r>
            <w:r>
              <w:rPr>
                <w:rFonts w:ascii="Arial" w:hAnsi="Arial" w:cs="Arial"/>
                <w:noProof/>
                <w:sz w:val="20"/>
                <w:szCs w:val="20"/>
                <w:lang w:val="af-ZA"/>
              </w:rPr>
              <w:t>1 April 2016 to 31 March 2017.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EC" w:rsidRDefault="002471EC" w:rsidP="00B70060">
            <w:pPr>
              <w:spacing w:before="100" w:beforeAutospacing="1" w:after="100" w:afterAutospacing="1"/>
              <w:jc w:val="both"/>
              <w:rPr>
                <w:rFonts w:ascii="Arial" w:hAnsi="Arial" w:cs="Arial"/>
                <w:noProof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af-ZA"/>
              </w:rPr>
              <w:t>Remedial after interview</w:t>
            </w:r>
            <w:r>
              <w:rPr>
                <w:rFonts w:ascii="Arial" w:hAnsi="Arial" w:cs="Arial"/>
                <w:noProof/>
                <w:sz w:val="20"/>
                <w:szCs w:val="20"/>
                <w:lang w:val="af-ZA"/>
              </w:rPr>
              <w:tab/>
              <w:t>= 1 315</w:t>
            </w:r>
          </w:p>
          <w:p w:rsidR="002471EC" w:rsidRDefault="002471EC" w:rsidP="00B70060">
            <w:pPr>
              <w:spacing w:before="100" w:beforeAutospacing="1" w:after="100" w:afterAutospacing="1"/>
              <w:jc w:val="both"/>
              <w:rPr>
                <w:rFonts w:ascii="Arial" w:hAnsi="Arial" w:cs="Arial"/>
                <w:noProof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af-ZA"/>
              </w:rPr>
              <w:t>Verbal warning = 108</w:t>
            </w:r>
          </w:p>
          <w:p w:rsidR="002471EC" w:rsidRDefault="002471EC" w:rsidP="00B70060">
            <w:pPr>
              <w:spacing w:before="100" w:beforeAutospacing="1" w:after="100" w:afterAutospacing="1"/>
              <w:jc w:val="both"/>
              <w:rPr>
                <w:rFonts w:ascii="Arial" w:hAnsi="Arial" w:cs="Arial"/>
                <w:noProof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af-ZA"/>
              </w:rPr>
              <w:t>Written warning</w:t>
            </w:r>
            <w:r>
              <w:rPr>
                <w:rFonts w:ascii="Arial" w:hAnsi="Arial" w:cs="Arial"/>
                <w:noProof/>
                <w:sz w:val="20"/>
                <w:szCs w:val="20"/>
                <w:lang w:val="af-ZA"/>
              </w:rPr>
              <w:tab/>
              <w:t xml:space="preserve"> = 35</w:t>
            </w:r>
          </w:p>
          <w:p w:rsidR="002471EC" w:rsidRDefault="002471EC" w:rsidP="00B70060">
            <w:pPr>
              <w:spacing w:before="100" w:beforeAutospacing="1" w:after="100" w:afterAutospacing="1"/>
              <w:jc w:val="both"/>
              <w:rPr>
                <w:rFonts w:ascii="Arial" w:hAnsi="Arial" w:cs="Arial"/>
                <w:noProof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af-ZA"/>
              </w:rPr>
              <w:t>Finalised investigation = 5</w:t>
            </w:r>
          </w:p>
          <w:p w:rsidR="002471EC" w:rsidRDefault="002471EC" w:rsidP="00A470B7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noProof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af-ZA"/>
              </w:rPr>
              <w:t>Verbal warning = 1</w:t>
            </w:r>
          </w:p>
          <w:p w:rsidR="002471EC" w:rsidRDefault="002471EC" w:rsidP="00A470B7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noProof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af-ZA"/>
              </w:rPr>
              <w:t>Written waring = 1</w:t>
            </w:r>
          </w:p>
          <w:p w:rsidR="002471EC" w:rsidRDefault="002471EC" w:rsidP="00A470B7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noProof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af-ZA"/>
              </w:rPr>
              <w:t>Withdrawn = 3</w:t>
            </w:r>
          </w:p>
          <w:p w:rsidR="002471EC" w:rsidRDefault="002471EC" w:rsidP="00B70060">
            <w:pPr>
              <w:spacing w:before="100" w:beforeAutospacing="1" w:after="100" w:afterAutospacing="1"/>
              <w:jc w:val="both"/>
              <w:rPr>
                <w:rFonts w:ascii="Arial" w:hAnsi="Arial" w:cs="Arial"/>
                <w:noProof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af-ZA"/>
              </w:rPr>
              <w:t>Guilty = 2</w:t>
            </w:r>
          </w:p>
          <w:p w:rsidR="002471EC" w:rsidRDefault="002471EC" w:rsidP="00B70060">
            <w:pPr>
              <w:spacing w:before="100" w:beforeAutospacing="1" w:after="100" w:afterAutospacing="1"/>
              <w:jc w:val="both"/>
              <w:rPr>
                <w:rFonts w:ascii="Arial" w:hAnsi="Arial" w:cs="Arial"/>
                <w:noProof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af-ZA"/>
              </w:rPr>
              <w:t>Not guilty = 8</w:t>
            </w:r>
          </w:p>
        </w:tc>
      </w:tr>
    </w:tbl>
    <w:p w:rsidR="002471EC" w:rsidRDefault="002471EC" w:rsidP="002471EC">
      <w:pPr>
        <w:spacing w:before="100" w:beforeAutospacing="1" w:after="100" w:afterAutospacing="1"/>
        <w:jc w:val="both"/>
        <w:rPr>
          <w:rFonts w:ascii="Arial" w:hAnsi="Arial" w:cs="Arial"/>
          <w:b/>
          <w:noProof/>
          <w:sz w:val="20"/>
          <w:szCs w:val="20"/>
          <w:lang w:val="af-ZA"/>
        </w:rPr>
      </w:pPr>
    </w:p>
    <w:p w:rsidR="002471EC" w:rsidRDefault="002471EC" w:rsidP="002471EC">
      <w:pPr>
        <w:spacing w:before="100" w:beforeAutospacing="1" w:after="100" w:afterAutospacing="1"/>
        <w:jc w:val="both"/>
        <w:rPr>
          <w:rFonts w:ascii="Arial" w:hAnsi="Arial" w:cs="Arial"/>
          <w:b/>
          <w:noProof/>
          <w:sz w:val="20"/>
          <w:szCs w:val="20"/>
          <w:lang w:val="af-ZA"/>
        </w:rPr>
      </w:pPr>
    </w:p>
    <w:p w:rsidR="002471EC" w:rsidRDefault="002471EC" w:rsidP="002471EC">
      <w:pPr>
        <w:spacing w:before="100" w:beforeAutospacing="1" w:after="100" w:afterAutospacing="1"/>
        <w:jc w:val="both"/>
        <w:rPr>
          <w:rFonts w:ascii="Arial" w:hAnsi="Arial" w:cs="Arial"/>
          <w:b/>
          <w:noProof/>
          <w:sz w:val="20"/>
          <w:szCs w:val="20"/>
          <w:lang w:val="af-ZA"/>
        </w:rPr>
      </w:pPr>
    </w:p>
    <w:p w:rsidR="002471EC" w:rsidRDefault="002471EC" w:rsidP="002471EC">
      <w:pPr>
        <w:spacing w:before="100" w:beforeAutospacing="1" w:after="100" w:afterAutospacing="1"/>
        <w:jc w:val="both"/>
        <w:rPr>
          <w:rFonts w:ascii="Arial" w:hAnsi="Arial" w:cs="Arial"/>
          <w:b/>
          <w:noProof/>
          <w:sz w:val="20"/>
          <w:szCs w:val="20"/>
          <w:lang w:val="af-ZA"/>
        </w:rPr>
      </w:pPr>
    </w:p>
    <w:p w:rsidR="002471EC" w:rsidRDefault="002471EC" w:rsidP="002471EC">
      <w:pPr>
        <w:spacing w:before="100" w:beforeAutospacing="1" w:after="100" w:afterAutospacing="1"/>
        <w:jc w:val="both"/>
        <w:rPr>
          <w:rFonts w:ascii="Arial" w:hAnsi="Arial" w:cs="Arial"/>
          <w:b/>
          <w:noProof/>
          <w:sz w:val="20"/>
          <w:szCs w:val="20"/>
          <w:lang w:val="af-ZA"/>
        </w:rPr>
      </w:pP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1843"/>
        <w:gridCol w:w="3686"/>
        <w:gridCol w:w="3543"/>
      </w:tblGrid>
      <w:tr w:rsidR="002471EC" w:rsidTr="00B70060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2471EC" w:rsidRDefault="002471EC" w:rsidP="00B70060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af-ZA"/>
              </w:rPr>
              <w:t>(i)(bb) Reporting Period 1 April 2015 to 31 March 2016</w:t>
            </w:r>
          </w:p>
        </w:tc>
      </w:tr>
      <w:tr w:rsidR="002471EC" w:rsidTr="00B70060">
        <w:trPr>
          <w:trHeight w:val="7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471EC" w:rsidRDefault="002471EC" w:rsidP="00B700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(a)Number of Disciplinary Proceedings instituted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471EC" w:rsidRDefault="002471EC" w:rsidP="00B700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af-ZA"/>
              </w:rPr>
              <w:t>(b)(i) Nature of noncompliance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471EC" w:rsidRDefault="002471EC" w:rsidP="00B70060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af-ZA"/>
              </w:rPr>
              <w:t>(b)(ii)Sanctions imposed</w:t>
            </w:r>
          </w:p>
          <w:p w:rsidR="002471EC" w:rsidRDefault="002471EC" w:rsidP="00B700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471EC" w:rsidTr="00B70060">
        <w:trPr>
          <w:trHeight w:val="41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EC" w:rsidRDefault="002471EC" w:rsidP="00B70060">
            <w:pPr>
              <w:rPr>
                <w:rFonts w:ascii="Arial" w:hAnsi="Arial" w:cs="Arial"/>
                <w:noProof/>
                <w:sz w:val="20"/>
                <w:szCs w:val="20"/>
                <w:lang w:val="af-ZA"/>
              </w:rPr>
            </w:pPr>
          </w:p>
          <w:p w:rsidR="002471EC" w:rsidRDefault="002471EC" w:rsidP="00B70060">
            <w:pPr>
              <w:spacing w:line="256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af-ZA"/>
              </w:rPr>
              <w:t>932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EC" w:rsidRDefault="002471EC" w:rsidP="00B70060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During this period, there was no reporting on administrative and service noncompliance. It was only introduced during the period </w:t>
            </w:r>
            <w:r>
              <w:rPr>
                <w:rFonts w:ascii="Arial" w:hAnsi="Arial" w:cs="Arial"/>
                <w:noProof/>
                <w:sz w:val="20"/>
                <w:szCs w:val="20"/>
                <w:lang w:val="af-ZA"/>
              </w:rPr>
              <w:t>1 April 2016 to 31 March 2017.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EC" w:rsidRDefault="002471EC" w:rsidP="00B70060">
            <w:pPr>
              <w:spacing w:before="100" w:beforeAutospacing="1" w:after="100" w:afterAutospacing="1"/>
              <w:jc w:val="both"/>
              <w:rPr>
                <w:rFonts w:ascii="Arial" w:hAnsi="Arial" w:cs="Arial"/>
                <w:noProof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af-ZA"/>
              </w:rPr>
              <w:t>Remedial after interview</w:t>
            </w:r>
            <w:r>
              <w:rPr>
                <w:rFonts w:ascii="Arial" w:hAnsi="Arial" w:cs="Arial"/>
                <w:noProof/>
                <w:sz w:val="20"/>
                <w:szCs w:val="20"/>
                <w:lang w:val="af-ZA"/>
              </w:rPr>
              <w:tab/>
              <w:t xml:space="preserve"> = 488</w:t>
            </w:r>
          </w:p>
          <w:p w:rsidR="002471EC" w:rsidRDefault="002471EC" w:rsidP="00B70060">
            <w:pPr>
              <w:spacing w:before="100" w:beforeAutospacing="1" w:after="100" w:afterAutospacing="1"/>
              <w:jc w:val="both"/>
              <w:rPr>
                <w:rFonts w:ascii="Arial" w:hAnsi="Arial" w:cs="Arial"/>
                <w:noProof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af-ZA"/>
              </w:rPr>
              <w:t>Verbal warning = 105</w:t>
            </w:r>
          </w:p>
          <w:p w:rsidR="002471EC" w:rsidRDefault="002471EC" w:rsidP="00B70060">
            <w:pPr>
              <w:spacing w:before="100" w:beforeAutospacing="1" w:after="100" w:afterAutospacing="1"/>
              <w:jc w:val="both"/>
              <w:rPr>
                <w:rFonts w:ascii="Arial" w:hAnsi="Arial" w:cs="Arial"/>
                <w:noProof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af-ZA"/>
              </w:rPr>
              <w:t>Written warning</w:t>
            </w:r>
            <w:r>
              <w:rPr>
                <w:rFonts w:ascii="Arial" w:hAnsi="Arial" w:cs="Arial"/>
                <w:noProof/>
                <w:sz w:val="20"/>
                <w:szCs w:val="20"/>
                <w:lang w:val="af-ZA"/>
              </w:rPr>
              <w:tab/>
              <w:t>= 21</w:t>
            </w:r>
          </w:p>
          <w:p w:rsidR="002471EC" w:rsidRDefault="002471EC" w:rsidP="00B70060">
            <w:pPr>
              <w:spacing w:before="100" w:beforeAutospacing="1" w:after="100" w:afterAutospacing="1"/>
              <w:jc w:val="both"/>
              <w:rPr>
                <w:rFonts w:ascii="Arial" w:hAnsi="Arial" w:cs="Arial"/>
                <w:noProof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af-ZA"/>
              </w:rPr>
              <w:t>Finalised Investigation = 318</w:t>
            </w:r>
          </w:p>
          <w:p w:rsidR="002471EC" w:rsidRDefault="002471EC" w:rsidP="00A470B7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noProof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af-ZA"/>
              </w:rPr>
              <w:t>Corrective counselling = 153</w:t>
            </w:r>
          </w:p>
          <w:p w:rsidR="002471EC" w:rsidRDefault="002471EC" w:rsidP="00A470B7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noProof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af-ZA"/>
              </w:rPr>
              <w:t>Verbal warning = 32</w:t>
            </w:r>
          </w:p>
          <w:p w:rsidR="002471EC" w:rsidRDefault="002471EC" w:rsidP="00A470B7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noProof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af-ZA"/>
              </w:rPr>
              <w:t>Final written warning = 6</w:t>
            </w:r>
          </w:p>
          <w:p w:rsidR="002471EC" w:rsidRDefault="002471EC" w:rsidP="00A470B7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noProof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af-ZA"/>
              </w:rPr>
              <w:t>Withdrawn = 59</w:t>
            </w:r>
          </w:p>
          <w:p w:rsidR="002471EC" w:rsidRDefault="002471EC" w:rsidP="00A470B7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noProof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af-ZA"/>
              </w:rPr>
              <w:t>Exepmtion granted  = 30</w:t>
            </w:r>
          </w:p>
          <w:p w:rsidR="002471EC" w:rsidRDefault="002471EC" w:rsidP="00A470B7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noProof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af-ZA"/>
              </w:rPr>
              <w:t>Not quilty = 4</w:t>
            </w:r>
          </w:p>
        </w:tc>
      </w:tr>
    </w:tbl>
    <w:p w:rsidR="002471EC" w:rsidRDefault="002471EC" w:rsidP="002471EC">
      <w:pPr>
        <w:pStyle w:val="ListParagraph"/>
        <w:spacing w:before="100" w:beforeAutospacing="1" w:after="100" w:afterAutospacing="1"/>
        <w:ind w:left="-407"/>
        <w:jc w:val="both"/>
        <w:rPr>
          <w:rFonts w:ascii="Arial" w:hAnsi="Arial" w:cs="Arial"/>
          <w:b/>
          <w:noProof/>
          <w:sz w:val="20"/>
          <w:szCs w:val="20"/>
          <w:lang w:val="af-ZA"/>
        </w:rPr>
      </w:pP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1843"/>
        <w:gridCol w:w="3686"/>
        <w:gridCol w:w="3543"/>
      </w:tblGrid>
      <w:tr w:rsidR="002471EC" w:rsidTr="00B70060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2471EC" w:rsidRDefault="002471EC" w:rsidP="00B70060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af-ZA"/>
              </w:rPr>
              <w:t>(i)(cc) Reporting Period 1 April 2016 to 31 March 2017</w:t>
            </w:r>
          </w:p>
        </w:tc>
      </w:tr>
      <w:tr w:rsidR="002471EC" w:rsidTr="00B70060">
        <w:trPr>
          <w:trHeight w:val="7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471EC" w:rsidRDefault="002471EC" w:rsidP="00A470B7">
            <w:pPr>
              <w:pStyle w:val="ListParagraph"/>
              <w:numPr>
                <w:ilvl w:val="0"/>
                <w:numId w:val="2"/>
              </w:numPr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Number of Disciplinary Proceedings instituted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471EC" w:rsidRDefault="002471EC" w:rsidP="00B700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af-ZA"/>
              </w:rPr>
              <w:t>(b)(i) Nature of noncompliance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471EC" w:rsidRDefault="002471EC" w:rsidP="00B70060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af-ZA"/>
              </w:rPr>
              <w:t>(b)(ii) Sanctions imposed</w:t>
            </w:r>
          </w:p>
          <w:p w:rsidR="002471EC" w:rsidRDefault="002471EC" w:rsidP="00B700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471EC" w:rsidTr="00B70060">
        <w:trPr>
          <w:trHeight w:val="9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EC" w:rsidRDefault="002471EC" w:rsidP="00B70060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af-ZA"/>
              </w:rPr>
            </w:pPr>
          </w:p>
          <w:p w:rsidR="002471EC" w:rsidRDefault="002471EC" w:rsidP="00B70060">
            <w:pPr>
              <w:spacing w:line="256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af-ZA"/>
              </w:rPr>
              <w:t>436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EC" w:rsidRDefault="002471EC" w:rsidP="00B700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Administrative noncompliance = 419</w:t>
            </w:r>
          </w:p>
          <w:p w:rsidR="002471EC" w:rsidRDefault="002471EC" w:rsidP="00B70060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Service noncompliance = 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EC" w:rsidRDefault="002471EC" w:rsidP="00B70060">
            <w:pPr>
              <w:spacing w:before="100" w:beforeAutospacing="1" w:after="100" w:afterAutospacing="1"/>
              <w:jc w:val="both"/>
              <w:rPr>
                <w:rFonts w:ascii="Arial" w:hAnsi="Arial" w:cs="Arial"/>
                <w:noProof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af-ZA"/>
              </w:rPr>
              <w:t>Remedial after interview</w:t>
            </w:r>
            <w:r>
              <w:rPr>
                <w:rFonts w:ascii="Arial" w:hAnsi="Arial" w:cs="Arial"/>
                <w:noProof/>
                <w:sz w:val="20"/>
                <w:szCs w:val="20"/>
                <w:lang w:val="af-ZA"/>
              </w:rPr>
              <w:tab/>
              <w:t xml:space="preserve"> = 193</w:t>
            </w:r>
          </w:p>
          <w:p w:rsidR="002471EC" w:rsidRDefault="002471EC" w:rsidP="00B70060">
            <w:pPr>
              <w:spacing w:before="100" w:beforeAutospacing="1" w:after="100" w:afterAutospacing="1"/>
              <w:jc w:val="both"/>
              <w:rPr>
                <w:rFonts w:ascii="Arial" w:hAnsi="Arial" w:cs="Arial"/>
                <w:noProof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af-ZA"/>
              </w:rPr>
              <w:t xml:space="preserve">Verbal Warning </w:t>
            </w:r>
            <w:r>
              <w:rPr>
                <w:rFonts w:ascii="Arial" w:hAnsi="Arial" w:cs="Arial"/>
                <w:noProof/>
                <w:sz w:val="20"/>
                <w:szCs w:val="20"/>
                <w:lang w:val="af-ZA"/>
              </w:rPr>
              <w:tab/>
              <w:t>= 57</w:t>
            </w:r>
          </w:p>
          <w:p w:rsidR="002471EC" w:rsidRDefault="002471EC" w:rsidP="00B70060">
            <w:pPr>
              <w:spacing w:before="100" w:beforeAutospacing="1" w:after="100" w:afterAutospacing="1"/>
              <w:jc w:val="both"/>
              <w:rPr>
                <w:rFonts w:ascii="Arial" w:hAnsi="Arial" w:cs="Arial"/>
                <w:noProof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af-ZA"/>
              </w:rPr>
              <w:t xml:space="preserve">Written warning </w:t>
            </w:r>
            <w:r>
              <w:rPr>
                <w:rFonts w:ascii="Arial" w:hAnsi="Arial" w:cs="Arial"/>
                <w:noProof/>
                <w:sz w:val="20"/>
                <w:szCs w:val="20"/>
                <w:lang w:val="af-ZA"/>
              </w:rPr>
              <w:tab/>
              <w:t>= 29</w:t>
            </w:r>
          </w:p>
          <w:p w:rsidR="002471EC" w:rsidRDefault="002471EC" w:rsidP="00B70060">
            <w:pPr>
              <w:spacing w:before="100" w:beforeAutospacing="1" w:after="100" w:afterAutospacing="1"/>
              <w:jc w:val="both"/>
              <w:rPr>
                <w:rFonts w:ascii="Arial" w:hAnsi="Arial" w:cs="Arial"/>
                <w:noProof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af-ZA"/>
              </w:rPr>
              <w:t>Finalised investigation = 118</w:t>
            </w:r>
          </w:p>
          <w:p w:rsidR="002471EC" w:rsidRDefault="002471EC" w:rsidP="00A470B7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noProof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af-ZA"/>
              </w:rPr>
              <w:t>Corrective counselling = 73</w:t>
            </w:r>
          </w:p>
          <w:p w:rsidR="002471EC" w:rsidRDefault="002471EC" w:rsidP="00A470B7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noProof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af-ZA"/>
              </w:rPr>
              <w:t>Final written warning = 3</w:t>
            </w:r>
          </w:p>
          <w:p w:rsidR="002471EC" w:rsidRDefault="002471EC" w:rsidP="00A470B7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noProof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af-ZA"/>
              </w:rPr>
              <w:t>Withdrawn = 7</w:t>
            </w:r>
          </w:p>
          <w:p w:rsidR="002471EC" w:rsidRDefault="002471EC" w:rsidP="00A470B7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noProof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af-ZA"/>
              </w:rPr>
              <w:t>Exepmtion granted = 34</w:t>
            </w:r>
          </w:p>
          <w:p w:rsidR="002471EC" w:rsidRDefault="002471EC" w:rsidP="00B70060">
            <w:pPr>
              <w:spacing w:before="100" w:beforeAutospacing="1" w:after="100" w:afterAutospacing="1"/>
              <w:jc w:val="both"/>
              <w:rPr>
                <w:rFonts w:ascii="Arial" w:hAnsi="Arial" w:cs="Arial"/>
                <w:noProof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af-ZA"/>
              </w:rPr>
              <w:t>Still under investigation = 1</w:t>
            </w:r>
          </w:p>
          <w:p w:rsidR="002471EC" w:rsidRDefault="002471EC" w:rsidP="00B70060">
            <w:pPr>
              <w:spacing w:before="100" w:beforeAutospacing="1" w:after="100" w:afterAutospacing="1"/>
              <w:jc w:val="both"/>
              <w:rPr>
                <w:rFonts w:ascii="Arial" w:hAnsi="Arial" w:cs="Arial"/>
                <w:noProof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af-ZA"/>
              </w:rPr>
              <w:t>Not quilty = 1</w:t>
            </w:r>
          </w:p>
          <w:p w:rsidR="002471EC" w:rsidRDefault="002471EC" w:rsidP="00B70060">
            <w:pPr>
              <w:spacing w:before="100" w:beforeAutospacing="1" w:after="100" w:afterAutospacing="1"/>
              <w:jc w:val="both"/>
              <w:rPr>
                <w:rFonts w:ascii="Arial" w:hAnsi="Arial" w:cs="Arial"/>
                <w:noProof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af-ZA"/>
              </w:rPr>
              <w:t>Application for exemption = 34</w:t>
            </w:r>
          </w:p>
        </w:tc>
      </w:tr>
    </w:tbl>
    <w:p w:rsidR="002471EC" w:rsidRDefault="002471EC" w:rsidP="002471EC">
      <w:pPr>
        <w:spacing w:before="100" w:beforeAutospacing="1" w:after="100" w:afterAutospacing="1"/>
        <w:jc w:val="both"/>
        <w:rPr>
          <w:rFonts w:ascii="Arial" w:hAnsi="Arial" w:cs="Arial"/>
          <w:b/>
          <w:noProof/>
          <w:sz w:val="20"/>
          <w:szCs w:val="20"/>
          <w:lang w:val="af-ZA"/>
        </w:rPr>
      </w:pPr>
    </w:p>
    <w:p w:rsidR="002471EC" w:rsidRDefault="002471EC" w:rsidP="002471EC">
      <w:pPr>
        <w:spacing w:before="100" w:beforeAutospacing="1" w:after="100" w:afterAutospacing="1"/>
        <w:jc w:val="both"/>
        <w:rPr>
          <w:rFonts w:ascii="Arial" w:hAnsi="Arial" w:cs="Arial"/>
          <w:b/>
          <w:noProof/>
          <w:sz w:val="20"/>
          <w:szCs w:val="20"/>
          <w:lang w:val="af-ZA"/>
        </w:rPr>
      </w:pPr>
    </w:p>
    <w:p w:rsidR="002471EC" w:rsidRDefault="002471EC" w:rsidP="002471EC">
      <w:pPr>
        <w:spacing w:before="100" w:beforeAutospacing="1" w:after="100" w:afterAutospacing="1"/>
        <w:jc w:val="both"/>
        <w:rPr>
          <w:rFonts w:ascii="Arial" w:hAnsi="Arial" w:cs="Arial"/>
          <w:b/>
          <w:noProof/>
          <w:sz w:val="20"/>
          <w:szCs w:val="20"/>
          <w:lang w:val="af-ZA"/>
        </w:rPr>
      </w:pP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1843"/>
        <w:gridCol w:w="3686"/>
        <w:gridCol w:w="3543"/>
      </w:tblGrid>
      <w:tr w:rsidR="002471EC" w:rsidTr="00B70060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2471EC" w:rsidRDefault="002471EC" w:rsidP="00B70060">
            <w:pPr>
              <w:pStyle w:val="ListParagraph"/>
              <w:ind w:left="10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af-ZA"/>
              </w:rPr>
              <w:t>(ii) Reporting Period 1 April 2017 to 31 September 2017</w:t>
            </w:r>
          </w:p>
        </w:tc>
      </w:tr>
      <w:tr w:rsidR="002471EC" w:rsidTr="00B70060">
        <w:trPr>
          <w:trHeight w:val="7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471EC" w:rsidRDefault="002471EC" w:rsidP="00B700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(a)Number of Disciplinary Proceedings instituted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471EC" w:rsidRDefault="002471EC" w:rsidP="00B7006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af-ZA"/>
              </w:rPr>
              <w:t>(b)(i) Nature of noncompliance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471EC" w:rsidRDefault="002471EC" w:rsidP="00B70060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af-ZA"/>
              </w:rPr>
              <w:t>(b)(ii)Sanctions imposed</w:t>
            </w:r>
          </w:p>
          <w:p w:rsidR="002471EC" w:rsidRDefault="002471EC" w:rsidP="00B700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471EC" w:rsidTr="00B70060">
        <w:trPr>
          <w:trHeight w:val="41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EC" w:rsidRDefault="002471EC" w:rsidP="00B70060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af-ZA"/>
              </w:rPr>
            </w:pPr>
          </w:p>
          <w:p w:rsidR="002471EC" w:rsidRDefault="002471EC" w:rsidP="00B70060">
            <w:pPr>
              <w:spacing w:line="256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af-ZA"/>
              </w:rPr>
              <w:t>143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EC" w:rsidRDefault="002471EC" w:rsidP="00B700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Administrative noncompliance =119</w:t>
            </w:r>
          </w:p>
          <w:p w:rsidR="002471EC" w:rsidRDefault="002471EC" w:rsidP="00B70060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Service noncompliance =24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EC" w:rsidRDefault="002471EC" w:rsidP="00B70060">
            <w:pPr>
              <w:spacing w:before="100" w:beforeAutospacing="1" w:after="100" w:afterAutospacing="1"/>
              <w:jc w:val="both"/>
              <w:rPr>
                <w:rFonts w:ascii="Arial" w:hAnsi="Arial" w:cs="Arial"/>
                <w:noProof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af-ZA"/>
              </w:rPr>
              <w:t>Remedial after interview</w:t>
            </w:r>
            <w:r>
              <w:rPr>
                <w:rFonts w:ascii="Arial" w:hAnsi="Arial" w:cs="Arial"/>
                <w:noProof/>
                <w:sz w:val="20"/>
                <w:szCs w:val="20"/>
                <w:lang w:val="af-ZA"/>
              </w:rPr>
              <w:tab/>
              <w:t>= 164</w:t>
            </w:r>
          </w:p>
          <w:p w:rsidR="002471EC" w:rsidRDefault="002471EC" w:rsidP="00B70060">
            <w:pPr>
              <w:spacing w:before="100" w:beforeAutospacing="1" w:after="100" w:afterAutospacing="1"/>
              <w:jc w:val="both"/>
              <w:rPr>
                <w:rFonts w:ascii="Arial" w:hAnsi="Arial" w:cs="Arial"/>
                <w:noProof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af-ZA"/>
              </w:rPr>
              <w:t>Verbal warning</w:t>
            </w:r>
            <w:r>
              <w:rPr>
                <w:rFonts w:ascii="Arial" w:hAnsi="Arial" w:cs="Arial"/>
                <w:noProof/>
                <w:sz w:val="20"/>
                <w:szCs w:val="20"/>
                <w:lang w:val="af-ZA"/>
              </w:rPr>
              <w:tab/>
              <w:t>= 29</w:t>
            </w:r>
          </w:p>
          <w:p w:rsidR="002471EC" w:rsidRDefault="002471EC" w:rsidP="00B70060">
            <w:pPr>
              <w:spacing w:before="100" w:beforeAutospacing="1" w:after="100" w:afterAutospacing="1"/>
              <w:jc w:val="both"/>
              <w:rPr>
                <w:rFonts w:ascii="Arial" w:hAnsi="Arial" w:cs="Arial"/>
                <w:noProof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af-ZA"/>
              </w:rPr>
              <w:t>Written warning</w:t>
            </w:r>
            <w:r>
              <w:rPr>
                <w:rFonts w:ascii="Arial" w:hAnsi="Arial" w:cs="Arial"/>
                <w:noProof/>
                <w:sz w:val="20"/>
                <w:szCs w:val="20"/>
                <w:lang w:val="af-ZA"/>
              </w:rPr>
              <w:tab/>
              <w:t>= 15</w:t>
            </w:r>
          </w:p>
          <w:p w:rsidR="002471EC" w:rsidRDefault="002471EC" w:rsidP="00B70060">
            <w:pPr>
              <w:spacing w:before="100" w:beforeAutospacing="1" w:after="100" w:afterAutospacing="1"/>
              <w:jc w:val="both"/>
              <w:rPr>
                <w:rFonts w:ascii="Arial" w:hAnsi="Arial" w:cs="Arial"/>
                <w:noProof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af-ZA"/>
              </w:rPr>
              <w:t>Under investigation = 27</w:t>
            </w:r>
          </w:p>
          <w:p w:rsidR="002471EC" w:rsidRDefault="002471EC" w:rsidP="00B70060">
            <w:pPr>
              <w:spacing w:before="100" w:beforeAutospacing="1" w:after="100" w:afterAutospacing="1"/>
              <w:jc w:val="both"/>
              <w:rPr>
                <w:rFonts w:ascii="Arial" w:hAnsi="Arial" w:cs="Arial"/>
                <w:noProof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af-ZA"/>
              </w:rPr>
              <w:t>Not quilty = 1</w:t>
            </w:r>
          </w:p>
          <w:p w:rsidR="002471EC" w:rsidRDefault="002471EC" w:rsidP="00B70060">
            <w:pPr>
              <w:spacing w:before="100" w:beforeAutospacing="1" w:after="100" w:afterAutospacing="1"/>
              <w:jc w:val="both"/>
              <w:rPr>
                <w:rFonts w:ascii="Arial" w:hAnsi="Arial" w:cs="Arial"/>
                <w:noProof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af-ZA"/>
              </w:rPr>
              <w:t>Exemption = 3</w:t>
            </w:r>
          </w:p>
          <w:p w:rsidR="002471EC" w:rsidRDefault="002471EC" w:rsidP="00B70060">
            <w:pPr>
              <w:spacing w:before="100" w:beforeAutospacing="1" w:after="100" w:afterAutospacing="1"/>
              <w:jc w:val="both"/>
              <w:rPr>
                <w:rFonts w:ascii="Arial" w:hAnsi="Arial" w:cs="Arial"/>
                <w:noProof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af-ZA"/>
              </w:rPr>
              <w:t>Application for exemption = 2</w:t>
            </w:r>
          </w:p>
          <w:p w:rsidR="002471EC" w:rsidRDefault="002471EC" w:rsidP="00B70060">
            <w:pPr>
              <w:spacing w:before="100" w:beforeAutospacing="1" w:after="100" w:afterAutospacing="1"/>
              <w:jc w:val="both"/>
              <w:rPr>
                <w:rFonts w:ascii="Arial" w:hAnsi="Arial" w:cs="Arial"/>
                <w:noProof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af-ZA"/>
              </w:rPr>
              <w:t>Regulation 8 report = 1</w:t>
            </w:r>
          </w:p>
        </w:tc>
      </w:tr>
    </w:tbl>
    <w:p w:rsidR="002471EC" w:rsidRDefault="002471EC" w:rsidP="002471EC">
      <w:pPr>
        <w:contextualSpacing/>
        <w:rPr>
          <w:rFonts w:ascii="Arial" w:hAnsi="Arial" w:cs="Arial"/>
          <w:sz w:val="20"/>
          <w:szCs w:val="20"/>
        </w:rPr>
      </w:pPr>
    </w:p>
    <w:p w:rsidR="002471EC" w:rsidRDefault="002471EC" w:rsidP="002471EC">
      <w:pPr>
        <w:contextualSpacing/>
        <w:rPr>
          <w:rFonts w:ascii="Arial" w:hAnsi="Arial" w:cs="Arial"/>
        </w:rPr>
      </w:pPr>
    </w:p>
    <w:p w:rsidR="002471EC" w:rsidRPr="00307A5F" w:rsidRDefault="002471EC" w:rsidP="002471EC">
      <w:pPr>
        <w:rPr>
          <w:rFonts w:ascii="Arial" w:hAnsi="Arial" w:cs="Arial"/>
        </w:rPr>
      </w:pPr>
      <w:bookmarkStart w:id="0" w:name="_GoBack"/>
      <w:bookmarkEnd w:id="0"/>
    </w:p>
    <w:p w:rsidR="00F56DE0" w:rsidRDefault="00F56DE0" w:rsidP="00F56DE0">
      <w:pPr>
        <w:jc w:val="right"/>
        <w:rPr>
          <w:rFonts w:ascii="Arial" w:hAnsi="Arial" w:cs="Arial"/>
          <w:b/>
        </w:rPr>
      </w:pPr>
    </w:p>
    <w:sectPr w:rsidR="00F56DE0" w:rsidSect="00091191">
      <w:head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0B7" w:rsidRDefault="00A470B7" w:rsidP="00020C8A">
      <w:r>
        <w:separator/>
      </w:r>
    </w:p>
  </w:endnote>
  <w:endnote w:type="continuationSeparator" w:id="0">
    <w:p w:rsidR="00A470B7" w:rsidRDefault="00A470B7" w:rsidP="0002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0B7" w:rsidRDefault="00A470B7" w:rsidP="00020C8A">
      <w:r>
        <w:separator/>
      </w:r>
    </w:p>
  </w:footnote>
  <w:footnote w:type="continuationSeparator" w:id="0">
    <w:p w:rsidR="00A470B7" w:rsidRDefault="00A470B7" w:rsidP="00020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C8A" w:rsidRPr="00020C8A" w:rsidRDefault="00020C8A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9C3DE1"/>
    <w:multiLevelType w:val="hybridMultilevel"/>
    <w:tmpl w:val="262CF22C"/>
    <w:lvl w:ilvl="0" w:tplc="9E00CC10">
      <w:start w:val="1"/>
      <w:numFmt w:val="lowerLetter"/>
      <w:lvlText w:val="(%1)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F94066"/>
    <w:multiLevelType w:val="hybridMultilevel"/>
    <w:tmpl w:val="73D04F2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C5"/>
    <w:rsid w:val="000047E0"/>
    <w:rsid w:val="00005378"/>
    <w:rsid w:val="000124A1"/>
    <w:rsid w:val="00020C8A"/>
    <w:rsid w:val="000418C5"/>
    <w:rsid w:val="0007692A"/>
    <w:rsid w:val="00083621"/>
    <w:rsid w:val="00091191"/>
    <w:rsid w:val="00093E1D"/>
    <w:rsid w:val="00096C32"/>
    <w:rsid w:val="000A31F2"/>
    <w:rsid w:val="000C445A"/>
    <w:rsid w:val="000D26BC"/>
    <w:rsid w:val="000F379C"/>
    <w:rsid w:val="0010163A"/>
    <w:rsid w:val="0012081D"/>
    <w:rsid w:val="00176890"/>
    <w:rsid w:val="0018484C"/>
    <w:rsid w:val="00190104"/>
    <w:rsid w:val="00193036"/>
    <w:rsid w:val="00193F07"/>
    <w:rsid w:val="001F7351"/>
    <w:rsid w:val="002136D3"/>
    <w:rsid w:val="00235D5E"/>
    <w:rsid w:val="002471EC"/>
    <w:rsid w:val="002472A0"/>
    <w:rsid w:val="002526D2"/>
    <w:rsid w:val="002561C9"/>
    <w:rsid w:val="002660B4"/>
    <w:rsid w:val="0027011F"/>
    <w:rsid w:val="00271524"/>
    <w:rsid w:val="002B060F"/>
    <w:rsid w:val="002E6A6B"/>
    <w:rsid w:val="00312D83"/>
    <w:rsid w:val="00313F6F"/>
    <w:rsid w:val="003429B2"/>
    <w:rsid w:val="00345860"/>
    <w:rsid w:val="00355C7B"/>
    <w:rsid w:val="00366515"/>
    <w:rsid w:val="00376D4C"/>
    <w:rsid w:val="003A29F4"/>
    <w:rsid w:val="003C3BC9"/>
    <w:rsid w:val="003D0D10"/>
    <w:rsid w:val="003D3A91"/>
    <w:rsid w:val="003E562D"/>
    <w:rsid w:val="003F4CBC"/>
    <w:rsid w:val="003F6713"/>
    <w:rsid w:val="004002B1"/>
    <w:rsid w:val="0041350D"/>
    <w:rsid w:val="00453CB8"/>
    <w:rsid w:val="004620BB"/>
    <w:rsid w:val="004841E2"/>
    <w:rsid w:val="004842A5"/>
    <w:rsid w:val="0048437E"/>
    <w:rsid w:val="00487C39"/>
    <w:rsid w:val="004C3778"/>
    <w:rsid w:val="004D7391"/>
    <w:rsid w:val="004E259E"/>
    <w:rsid w:val="00516838"/>
    <w:rsid w:val="005376FE"/>
    <w:rsid w:val="00540F08"/>
    <w:rsid w:val="005667CC"/>
    <w:rsid w:val="00584FE8"/>
    <w:rsid w:val="00591BFB"/>
    <w:rsid w:val="005948DE"/>
    <w:rsid w:val="005B3AEC"/>
    <w:rsid w:val="005C37B3"/>
    <w:rsid w:val="005E67ED"/>
    <w:rsid w:val="005F3E91"/>
    <w:rsid w:val="005F4DE5"/>
    <w:rsid w:val="005F687E"/>
    <w:rsid w:val="0062086F"/>
    <w:rsid w:val="00630338"/>
    <w:rsid w:val="00632F7F"/>
    <w:rsid w:val="0064280B"/>
    <w:rsid w:val="00671325"/>
    <w:rsid w:val="00685C66"/>
    <w:rsid w:val="00692AA0"/>
    <w:rsid w:val="00693AF3"/>
    <w:rsid w:val="00697291"/>
    <w:rsid w:val="006B7009"/>
    <w:rsid w:val="006D1984"/>
    <w:rsid w:val="0070544C"/>
    <w:rsid w:val="00760599"/>
    <w:rsid w:val="00773CD1"/>
    <w:rsid w:val="00775D04"/>
    <w:rsid w:val="007A4F25"/>
    <w:rsid w:val="007B3CBC"/>
    <w:rsid w:val="007B44B4"/>
    <w:rsid w:val="00806642"/>
    <w:rsid w:val="0084083E"/>
    <w:rsid w:val="00863619"/>
    <w:rsid w:val="008709C3"/>
    <w:rsid w:val="008735E7"/>
    <w:rsid w:val="008764DB"/>
    <w:rsid w:val="00882AE8"/>
    <w:rsid w:val="00887880"/>
    <w:rsid w:val="008921E2"/>
    <w:rsid w:val="008A40B9"/>
    <w:rsid w:val="008A4F4B"/>
    <w:rsid w:val="008B0F8D"/>
    <w:rsid w:val="008C1619"/>
    <w:rsid w:val="008E77C7"/>
    <w:rsid w:val="009006F0"/>
    <w:rsid w:val="00904A1D"/>
    <w:rsid w:val="0092398F"/>
    <w:rsid w:val="00930C84"/>
    <w:rsid w:val="009356A3"/>
    <w:rsid w:val="00971BE9"/>
    <w:rsid w:val="0098689A"/>
    <w:rsid w:val="00991417"/>
    <w:rsid w:val="009967E6"/>
    <w:rsid w:val="009A3AAF"/>
    <w:rsid w:val="009B6CF0"/>
    <w:rsid w:val="009E4EFB"/>
    <w:rsid w:val="009E5F5E"/>
    <w:rsid w:val="00A0566D"/>
    <w:rsid w:val="00A145F8"/>
    <w:rsid w:val="00A25477"/>
    <w:rsid w:val="00A470B7"/>
    <w:rsid w:val="00A51E91"/>
    <w:rsid w:val="00A60330"/>
    <w:rsid w:val="00A61C2D"/>
    <w:rsid w:val="00A650EF"/>
    <w:rsid w:val="00AD1965"/>
    <w:rsid w:val="00AD3A49"/>
    <w:rsid w:val="00AF35A5"/>
    <w:rsid w:val="00B10E82"/>
    <w:rsid w:val="00B177B8"/>
    <w:rsid w:val="00B17C8E"/>
    <w:rsid w:val="00B22747"/>
    <w:rsid w:val="00B32CC5"/>
    <w:rsid w:val="00B357F2"/>
    <w:rsid w:val="00B53665"/>
    <w:rsid w:val="00B63558"/>
    <w:rsid w:val="00B82272"/>
    <w:rsid w:val="00B951AF"/>
    <w:rsid w:val="00BA7359"/>
    <w:rsid w:val="00BA74B2"/>
    <w:rsid w:val="00BB028D"/>
    <w:rsid w:val="00BC43F8"/>
    <w:rsid w:val="00BE30EE"/>
    <w:rsid w:val="00C011C4"/>
    <w:rsid w:val="00C02E3E"/>
    <w:rsid w:val="00C046CD"/>
    <w:rsid w:val="00C304FB"/>
    <w:rsid w:val="00C35239"/>
    <w:rsid w:val="00C573BC"/>
    <w:rsid w:val="00C605B1"/>
    <w:rsid w:val="00CB3722"/>
    <w:rsid w:val="00CB4D93"/>
    <w:rsid w:val="00CB73F4"/>
    <w:rsid w:val="00CD4C8D"/>
    <w:rsid w:val="00CF39DB"/>
    <w:rsid w:val="00CF465A"/>
    <w:rsid w:val="00CF66CB"/>
    <w:rsid w:val="00D00C2A"/>
    <w:rsid w:val="00D06419"/>
    <w:rsid w:val="00D12358"/>
    <w:rsid w:val="00D22D4F"/>
    <w:rsid w:val="00D34BDA"/>
    <w:rsid w:val="00D6779C"/>
    <w:rsid w:val="00D90829"/>
    <w:rsid w:val="00D92217"/>
    <w:rsid w:val="00DA2E74"/>
    <w:rsid w:val="00DB6069"/>
    <w:rsid w:val="00E239F0"/>
    <w:rsid w:val="00E275AB"/>
    <w:rsid w:val="00E275AD"/>
    <w:rsid w:val="00E44A6A"/>
    <w:rsid w:val="00E45525"/>
    <w:rsid w:val="00E573E8"/>
    <w:rsid w:val="00E61CD7"/>
    <w:rsid w:val="00EB4706"/>
    <w:rsid w:val="00ED15D2"/>
    <w:rsid w:val="00EF13C2"/>
    <w:rsid w:val="00EF6470"/>
    <w:rsid w:val="00F01AF5"/>
    <w:rsid w:val="00F33B06"/>
    <w:rsid w:val="00F56DE0"/>
    <w:rsid w:val="00F570FA"/>
    <w:rsid w:val="00F84353"/>
    <w:rsid w:val="00F8567D"/>
    <w:rsid w:val="00F9389C"/>
    <w:rsid w:val="00F95112"/>
    <w:rsid w:val="00FD742D"/>
    <w:rsid w:val="00FE1628"/>
    <w:rsid w:val="00FE55C6"/>
    <w:rsid w:val="00FF2B3E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D1E7700-F687-4CCE-8EA5-3375AAC6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F5B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BC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76D4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A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A4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F4DE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3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rsid w:val="0048437E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rsid w:val="0048437E"/>
    <w:rPr>
      <w:rFonts w:ascii="CG Times" w:eastAsia="Times New Roman" w:hAnsi="CG Times" w:cs="Times New Roman"/>
      <w:sz w:val="24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E55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55C6"/>
    <w:pPr>
      <w:spacing w:after="160"/>
    </w:pPr>
    <w:rPr>
      <w:rFonts w:asciiTheme="minorHAnsi" w:eastAsiaTheme="minorHAnsi" w:hAnsiTheme="minorHAnsi" w:cstheme="minorBid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55C6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55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55C6"/>
    <w:rPr>
      <w:b/>
      <w:bCs/>
      <w:sz w:val="20"/>
      <w:szCs w:val="20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FE55C6"/>
    <w:pPr>
      <w:spacing w:after="0" w:line="240" w:lineRule="auto"/>
    </w:pPr>
    <w:rPr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A0566D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8B0F8D"/>
    <w:pPr>
      <w:spacing w:before="100" w:beforeAutospacing="1" w:after="100" w:afterAutospacing="1"/>
    </w:pPr>
    <w:rPr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6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bok@saps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Kupa MS</cp:lastModifiedBy>
  <cp:revision>2</cp:revision>
  <cp:lastPrinted>2017-02-08T10:44:00Z</cp:lastPrinted>
  <dcterms:created xsi:type="dcterms:W3CDTF">2018-02-14T10:22:00Z</dcterms:created>
  <dcterms:modified xsi:type="dcterms:W3CDTF">2018-02-14T10:22:00Z</dcterms:modified>
</cp:coreProperties>
</file>