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Pr="00CC4763" w:rsidRDefault="00DA4A89" w:rsidP="00DA4A89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CC4763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2353945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A89" w:rsidRPr="00CC4763" w:rsidRDefault="00DA4A89" w:rsidP="00DA4A89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DA4A89" w:rsidRPr="00CC4763" w:rsidRDefault="00DA4A89" w:rsidP="00DA4A89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DA4A89" w:rsidRPr="00CC4763" w:rsidRDefault="00DA4A89" w:rsidP="00DA4A89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DA4A89" w:rsidRPr="00CC4763" w:rsidRDefault="00DA4A89" w:rsidP="00DA4A89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DA4A89" w:rsidRPr="00CC4763" w:rsidRDefault="00DA4A89" w:rsidP="00DA4A89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CC4763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DA4A89" w:rsidRPr="00CC4763" w:rsidRDefault="00DA4A89" w:rsidP="00DA4A89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CC4763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DA4A89" w:rsidRPr="00CC4763" w:rsidRDefault="00DA4A89" w:rsidP="00DA4A89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DA4A89" w:rsidRPr="00CC4763" w:rsidRDefault="00DA4A89" w:rsidP="00DA4A89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CC476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DA4A89" w:rsidRPr="00CC4763" w:rsidRDefault="00DA4A89" w:rsidP="00DA4A89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DA4A89" w:rsidRPr="00CC4763" w:rsidRDefault="00DA4A89" w:rsidP="00DA4A89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CC476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DA4A89" w:rsidRPr="00CC4763" w:rsidRDefault="00DA4A89" w:rsidP="00DA4A89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DA4A89" w:rsidRPr="00CC4763" w:rsidRDefault="00DA4A89" w:rsidP="00DA4A89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5 MARCH</w:t>
      </w:r>
      <w:r w:rsidRPr="00CC476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 2021</w:t>
      </w:r>
    </w:p>
    <w:p w:rsidR="00DA4A89" w:rsidRPr="00CC4763" w:rsidRDefault="00DA4A89" w:rsidP="00DA4A89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DA4A89" w:rsidRPr="00CC4763" w:rsidRDefault="00DA4A89" w:rsidP="00DA4A89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682</w:t>
      </w:r>
      <w:r w:rsidRPr="00CC476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CC476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DA4A89" w:rsidRPr="00710C87" w:rsidRDefault="00DA4A89" w:rsidP="00DA4A8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10C87">
        <w:rPr>
          <w:rFonts w:ascii="Arial" w:hAnsi="Arial" w:cs="Arial"/>
          <w:b/>
          <w:sz w:val="24"/>
          <w:szCs w:val="24"/>
        </w:rPr>
        <w:t>Mr J N de Villiers (DA) to ask the Minister of Public Service and Administration</w:t>
      </w:r>
      <w:r w:rsidR="00E835D6" w:rsidRPr="00710C87">
        <w:rPr>
          <w:rFonts w:ascii="Arial" w:hAnsi="Arial" w:cs="Arial"/>
          <w:b/>
          <w:sz w:val="24"/>
          <w:szCs w:val="24"/>
        </w:rPr>
        <w:fldChar w:fldCharType="begin"/>
      </w:r>
      <w:r w:rsidRPr="00710C87">
        <w:rPr>
          <w:rFonts w:ascii="Arial" w:hAnsi="Arial" w:cs="Arial"/>
          <w:sz w:val="24"/>
          <w:szCs w:val="24"/>
        </w:rPr>
        <w:instrText xml:space="preserve"> XE "</w:instrText>
      </w:r>
      <w:r w:rsidRPr="00710C87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Pr="00710C87">
        <w:rPr>
          <w:rFonts w:ascii="Arial" w:hAnsi="Arial" w:cs="Arial"/>
          <w:sz w:val="24"/>
          <w:szCs w:val="24"/>
        </w:rPr>
        <w:instrText xml:space="preserve">" </w:instrText>
      </w:r>
      <w:r w:rsidR="00E835D6" w:rsidRPr="00710C87">
        <w:rPr>
          <w:rFonts w:ascii="Arial" w:hAnsi="Arial" w:cs="Arial"/>
          <w:b/>
          <w:sz w:val="24"/>
          <w:szCs w:val="24"/>
        </w:rPr>
        <w:fldChar w:fldCharType="end"/>
      </w:r>
      <w:r w:rsidRPr="00710C87">
        <w:rPr>
          <w:rFonts w:ascii="Arial" w:hAnsi="Arial" w:cs="Arial"/>
          <w:b/>
          <w:sz w:val="24"/>
          <w:szCs w:val="24"/>
        </w:rPr>
        <w:t>:</w:t>
      </w:r>
    </w:p>
    <w:p w:rsidR="00DA4A89" w:rsidRPr="00710C87" w:rsidRDefault="00DA4A89" w:rsidP="00DA4A89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10C87">
        <w:rPr>
          <w:rFonts w:ascii="Arial" w:hAnsi="Arial" w:cs="Arial"/>
          <w:sz w:val="24"/>
          <w:szCs w:val="24"/>
        </w:rPr>
        <w:t>Whether (a) his department and/or (b) any entity reporting to him makes use of private security firms; if not, what is the position in this regard; if so, in each case, what is the (</w:t>
      </w:r>
      <w:proofErr w:type="spellStart"/>
      <w:r w:rsidRPr="00710C87">
        <w:rPr>
          <w:rFonts w:ascii="Arial" w:hAnsi="Arial" w:cs="Arial"/>
          <w:sz w:val="24"/>
          <w:szCs w:val="24"/>
        </w:rPr>
        <w:t>i</w:t>
      </w:r>
      <w:proofErr w:type="spellEnd"/>
      <w:r w:rsidRPr="00710C87">
        <w:rPr>
          <w:rFonts w:ascii="Arial" w:hAnsi="Arial" w:cs="Arial"/>
          <w:sz w:val="24"/>
          <w:szCs w:val="24"/>
        </w:rPr>
        <w:t>) name of each firm, (ii) purpose, (iii) value and (iv) duration of each specified contract?</w:t>
      </w:r>
      <w:r w:rsidRPr="00710C87">
        <w:rPr>
          <w:rFonts w:ascii="Arial" w:hAnsi="Arial" w:cs="Arial"/>
          <w:sz w:val="24"/>
          <w:szCs w:val="24"/>
        </w:rPr>
        <w:tab/>
      </w:r>
      <w:r w:rsidRPr="00710C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0C87">
        <w:rPr>
          <w:rFonts w:ascii="Arial" w:hAnsi="Arial" w:cs="Arial"/>
          <w:b/>
          <w:sz w:val="24"/>
          <w:szCs w:val="24"/>
        </w:rPr>
        <w:t>NW800E</w:t>
      </w:r>
    </w:p>
    <w:p w:rsidR="00DA4A89" w:rsidRDefault="00E835D6" w:rsidP="00DA4A89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C4763">
        <w:rPr>
          <w:rFonts w:ascii="Arial" w:hAnsi="Arial" w:cs="Arial"/>
          <w:b/>
          <w:sz w:val="24"/>
          <w:szCs w:val="24"/>
        </w:rPr>
        <w:fldChar w:fldCharType="begin"/>
      </w:r>
      <w:r w:rsidR="00DA4A89" w:rsidRPr="00CC4763">
        <w:rPr>
          <w:rFonts w:ascii="Arial" w:hAnsi="Arial" w:cs="Arial"/>
          <w:sz w:val="24"/>
          <w:szCs w:val="24"/>
        </w:rPr>
        <w:instrText xml:space="preserve"> XE "</w:instrText>
      </w:r>
      <w:r w:rsidR="00DA4A89" w:rsidRPr="00CC4763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="00DA4A89" w:rsidRPr="00CC4763">
        <w:rPr>
          <w:rFonts w:ascii="Arial" w:hAnsi="Arial" w:cs="Arial"/>
          <w:sz w:val="24"/>
          <w:szCs w:val="24"/>
        </w:rPr>
        <w:instrText xml:space="preserve">" </w:instrText>
      </w:r>
      <w:r w:rsidRPr="00CC4763">
        <w:rPr>
          <w:rFonts w:ascii="Arial" w:hAnsi="Arial" w:cs="Arial"/>
          <w:b/>
          <w:sz w:val="24"/>
          <w:szCs w:val="24"/>
        </w:rPr>
        <w:fldChar w:fldCharType="end"/>
      </w:r>
      <w:r w:rsidR="00DA4A89" w:rsidRPr="00CC4763">
        <w:rPr>
          <w:rFonts w:ascii="Arial" w:eastAsia="Calibri" w:hAnsi="Arial" w:cs="Arial"/>
          <w:b/>
          <w:sz w:val="24"/>
          <w:szCs w:val="24"/>
        </w:rPr>
        <w:t xml:space="preserve">REPLY: </w:t>
      </w:r>
      <w:r w:rsidR="00DA4A89">
        <w:rPr>
          <w:rFonts w:ascii="Arial" w:eastAsia="Calibri" w:hAnsi="Arial" w:cs="Arial"/>
          <w:b/>
          <w:sz w:val="24"/>
          <w:szCs w:val="24"/>
        </w:rPr>
        <w:t xml:space="preserve">NSG </w:t>
      </w:r>
    </w:p>
    <w:p w:rsidR="00DA4A89" w:rsidRPr="00580B59" w:rsidRDefault="00DA4A89" w:rsidP="00DA4A89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80B59">
        <w:rPr>
          <w:rFonts w:ascii="Arial" w:eastAsia="Calibri" w:hAnsi="Arial" w:cs="Arial"/>
          <w:bCs/>
          <w:sz w:val="24"/>
          <w:szCs w:val="24"/>
        </w:rPr>
        <w:t>The NSG is one of the entities that reports to the Minister for Public Service and Administration and has its own premises that it leases from  DPW</w:t>
      </w:r>
      <w:r>
        <w:rPr>
          <w:rFonts w:ascii="Arial" w:eastAsia="Calibri" w:hAnsi="Arial" w:cs="Arial"/>
          <w:bCs/>
          <w:sz w:val="24"/>
          <w:szCs w:val="24"/>
        </w:rPr>
        <w:t>I (PIC)</w:t>
      </w:r>
      <w:r w:rsidRPr="00580B59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situated at</w:t>
      </w:r>
      <w:r w:rsidRPr="00580B59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 xml:space="preserve">ZK Matthews,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Trevenna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Bld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, 70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Meintjies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street Sunnyside PRETORIA </w:t>
      </w:r>
      <w:r w:rsidRPr="00580B59">
        <w:rPr>
          <w:rFonts w:ascii="Arial" w:eastAsia="Calibri" w:hAnsi="Arial" w:cs="Arial"/>
          <w:bCs/>
          <w:sz w:val="24"/>
          <w:szCs w:val="24"/>
        </w:rPr>
        <w:t xml:space="preserve">and </w:t>
      </w:r>
      <w:r>
        <w:rPr>
          <w:rFonts w:ascii="Arial" w:eastAsia="Calibri" w:hAnsi="Arial" w:cs="Arial"/>
          <w:bCs/>
          <w:sz w:val="24"/>
          <w:szCs w:val="24"/>
        </w:rPr>
        <w:t>utilise</w:t>
      </w:r>
      <w:r w:rsidRPr="00580B59">
        <w:rPr>
          <w:rFonts w:ascii="Arial" w:eastAsia="Calibri" w:hAnsi="Arial" w:cs="Arial"/>
          <w:bCs/>
          <w:sz w:val="24"/>
          <w:szCs w:val="24"/>
        </w:rPr>
        <w:t xml:space="preserve"> the following security firms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tbl>
      <w:tblPr>
        <w:tblStyle w:val="TableGrid"/>
        <w:tblW w:w="9351" w:type="dxa"/>
        <w:tblLayout w:type="fixed"/>
        <w:tblLook w:val="04A0"/>
      </w:tblPr>
      <w:tblGrid>
        <w:gridCol w:w="2337"/>
        <w:gridCol w:w="2338"/>
        <w:gridCol w:w="2338"/>
        <w:gridCol w:w="2338"/>
      </w:tblGrid>
      <w:tr w:rsidR="00DA4A89" w:rsidTr="0072158D">
        <w:tc>
          <w:tcPr>
            <w:tcW w:w="2337" w:type="dxa"/>
            <w:shd w:val="clear" w:color="auto" w:fill="9CC2E5" w:themeFill="accent1" w:themeFillTint="99"/>
          </w:tcPr>
          <w:p w:rsidR="00DA4A89" w:rsidRPr="004B6A9F" w:rsidRDefault="00DA4A89" w:rsidP="00DA4A8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596" w:hanging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Name of the Company</w:t>
            </w:r>
          </w:p>
        </w:tc>
        <w:tc>
          <w:tcPr>
            <w:tcW w:w="2338" w:type="dxa"/>
            <w:shd w:val="clear" w:color="auto" w:fill="9CC2E5" w:themeFill="accent1" w:themeFillTint="99"/>
          </w:tcPr>
          <w:p w:rsidR="00DA4A89" w:rsidRPr="004B6A9F" w:rsidRDefault="00DA4A89" w:rsidP="00DA4A8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596" w:hanging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Purpose</w:t>
            </w:r>
          </w:p>
        </w:tc>
        <w:tc>
          <w:tcPr>
            <w:tcW w:w="2338" w:type="dxa"/>
            <w:shd w:val="clear" w:color="auto" w:fill="9CC2E5" w:themeFill="accent1" w:themeFillTint="99"/>
          </w:tcPr>
          <w:p w:rsidR="00DA4A89" w:rsidRPr="004B6A9F" w:rsidRDefault="00DA4A89" w:rsidP="00DA4A8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596" w:hanging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Contract Value</w:t>
            </w:r>
          </w:p>
        </w:tc>
        <w:tc>
          <w:tcPr>
            <w:tcW w:w="2338" w:type="dxa"/>
            <w:shd w:val="clear" w:color="auto" w:fill="9CC2E5" w:themeFill="accent1" w:themeFillTint="99"/>
          </w:tcPr>
          <w:p w:rsidR="00DA4A89" w:rsidRPr="004B6A9F" w:rsidRDefault="00DA4A89" w:rsidP="00DA4A8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596" w:hanging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Duration of the contract</w:t>
            </w:r>
          </w:p>
        </w:tc>
      </w:tr>
      <w:tr w:rsidR="00DA4A89" w:rsidTr="0072158D">
        <w:tc>
          <w:tcPr>
            <w:tcW w:w="2337" w:type="dxa"/>
          </w:tcPr>
          <w:p w:rsidR="00DA4A89" w:rsidRDefault="00DA4A89" w:rsidP="0072158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Phuthadichaba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Trading Enterprise cc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Reg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2003/034074/23)</w:t>
            </w:r>
          </w:p>
        </w:tc>
        <w:tc>
          <w:tcPr>
            <w:tcW w:w="2338" w:type="dxa"/>
          </w:tcPr>
          <w:p w:rsidR="00DA4A89" w:rsidRDefault="00DA4A89" w:rsidP="0072158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 provide physical security services to safeguard NSG personnel and property</w:t>
            </w:r>
          </w:p>
        </w:tc>
        <w:tc>
          <w:tcPr>
            <w:tcW w:w="2338" w:type="dxa"/>
          </w:tcPr>
          <w:p w:rsidR="00DA4A89" w:rsidRDefault="00DA4A89" w:rsidP="0072158D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1E3">
              <w:rPr>
                <w:rFonts w:ascii="Arial" w:hAnsi="Arial" w:cs="Arial"/>
                <w:color w:val="000000"/>
                <w:sz w:val="24"/>
                <w:szCs w:val="24"/>
              </w:rPr>
              <w:t>R 17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5D61E3">
              <w:rPr>
                <w:rFonts w:ascii="Arial" w:hAnsi="Arial" w:cs="Arial"/>
                <w:color w:val="000000"/>
                <w:sz w:val="24"/>
                <w:szCs w:val="24"/>
              </w:rPr>
              <w:t xml:space="preserve"> 538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5D61E3">
              <w:rPr>
                <w:rFonts w:ascii="Arial" w:hAnsi="Arial" w:cs="Arial"/>
                <w:color w:val="000000"/>
                <w:sz w:val="24"/>
                <w:szCs w:val="24"/>
              </w:rPr>
              <w:t xml:space="preserve"> 566,28</w:t>
            </w:r>
          </w:p>
        </w:tc>
        <w:tc>
          <w:tcPr>
            <w:tcW w:w="2338" w:type="dxa"/>
          </w:tcPr>
          <w:p w:rsidR="00DA4A89" w:rsidRDefault="00DA4A89" w:rsidP="0072158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Five (5) years   </w:t>
            </w:r>
          </w:p>
          <w:p w:rsidR="00DA4A89" w:rsidRDefault="00DA4A89" w:rsidP="0072158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(01 November 2018 – 31 October 2023)</w:t>
            </w:r>
          </w:p>
        </w:tc>
      </w:tr>
      <w:tr w:rsidR="00DA4A89" w:rsidTr="0072158D">
        <w:tc>
          <w:tcPr>
            <w:tcW w:w="2337" w:type="dxa"/>
          </w:tcPr>
          <w:p w:rsidR="00DA4A89" w:rsidRDefault="00DA4A89" w:rsidP="0072158D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Vox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Telecommunications (Pty) Ltd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Reg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2011/000797/07)</w:t>
            </w:r>
          </w:p>
          <w:p w:rsidR="00DA4A89" w:rsidRDefault="00DA4A89" w:rsidP="0072158D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DA4A89" w:rsidRDefault="00DA4A89" w:rsidP="0072158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 provide management and maintenance service for CCTV surveillance, Access Control and Intruder Alarm System</w:t>
            </w:r>
          </w:p>
        </w:tc>
        <w:tc>
          <w:tcPr>
            <w:tcW w:w="2338" w:type="dxa"/>
          </w:tcPr>
          <w:p w:rsidR="00DA4A89" w:rsidRDefault="00DA4A89" w:rsidP="0072158D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R2,128,829.36</w:t>
            </w:r>
          </w:p>
        </w:tc>
        <w:tc>
          <w:tcPr>
            <w:tcW w:w="2338" w:type="dxa"/>
          </w:tcPr>
          <w:p w:rsidR="00DA4A89" w:rsidRDefault="00DA4A89" w:rsidP="0072158D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 months</w:t>
            </w:r>
          </w:p>
          <w:p w:rsidR="00DA4A89" w:rsidRDefault="00DA4A89" w:rsidP="0072158D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(01 January 2020-31 December 2023)</w:t>
            </w:r>
          </w:p>
          <w:p w:rsidR="00DA4A89" w:rsidRDefault="00DA4A89" w:rsidP="0072158D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A4A89" w:rsidRDefault="00DA4A89" w:rsidP="00DA4A8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A4A89" w:rsidRPr="00DA6513" w:rsidRDefault="00E835D6" w:rsidP="00DA4A8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C4763">
        <w:rPr>
          <w:rFonts w:ascii="Arial" w:hAnsi="Arial" w:cs="Arial"/>
          <w:b/>
          <w:sz w:val="24"/>
          <w:szCs w:val="24"/>
        </w:rPr>
        <w:fldChar w:fldCharType="begin"/>
      </w:r>
      <w:r w:rsidR="00DA4A89" w:rsidRPr="00CC4763">
        <w:rPr>
          <w:rFonts w:ascii="Arial" w:hAnsi="Arial" w:cs="Arial"/>
          <w:sz w:val="24"/>
          <w:szCs w:val="24"/>
        </w:rPr>
        <w:instrText xml:space="preserve"> XE "</w:instrText>
      </w:r>
      <w:r w:rsidR="00DA4A89" w:rsidRPr="00CC4763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="00DA4A89" w:rsidRPr="00CC4763">
        <w:rPr>
          <w:rFonts w:ascii="Arial" w:hAnsi="Arial" w:cs="Arial"/>
          <w:sz w:val="24"/>
          <w:szCs w:val="24"/>
        </w:rPr>
        <w:instrText xml:space="preserve">" </w:instrText>
      </w:r>
      <w:r w:rsidRPr="00CC4763">
        <w:rPr>
          <w:rFonts w:ascii="Arial" w:hAnsi="Arial" w:cs="Arial"/>
          <w:b/>
          <w:sz w:val="24"/>
          <w:szCs w:val="24"/>
        </w:rPr>
        <w:fldChar w:fldCharType="end"/>
      </w:r>
      <w:r w:rsidR="00DA4A89" w:rsidRPr="00CC4763">
        <w:rPr>
          <w:rFonts w:ascii="Arial" w:eastAsia="Calibri" w:hAnsi="Arial" w:cs="Arial"/>
          <w:b/>
          <w:sz w:val="24"/>
          <w:szCs w:val="24"/>
        </w:rPr>
        <w:t xml:space="preserve">REPLY: </w:t>
      </w:r>
      <w:r w:rsidR="00DA4A89" w:rsidRPr="00DA49B2">
        <w:rPr>
          <w:rFonts w:ascii="Arial" w:hAnsi="Arial" w:cs="Arial"/>
          <w:b/>
          <w:color w:val="000000"/>
          <w:sz w:val="24"/>
          <w:szCs w:val="24"/>
        </w:rPr>
        <w:t>PSC</w:t>
      </w:r>
    </w:p>
    <w:p w:rsidR="00DA4A89" w:rsidRDefault="00DA4A89" w:rsidP="00DA4A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Office of the Public Service Commission (OPSC) has appointed private security firms for four Provincial Offices as set out in the table below:</w:t>
      </w:r>
    </w:p>
    <w:p w:rsidR="00DA4A89" w:rsidRDefault="00DA4A89" w:rsidP="00DA4A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75"/>
        <w:gridCol w:w="2970"/>
        <w:gridCol w:w="1817"/>
        <w:gridCol w:w="2254"/>
      </w:tblGrid>
      <w:tr w:rsidR="00DA4A89" w:rsidTr="0072158D">
        <w:tc>
          <w:tcPr>
            <w:tcW w:w="1975" w:type="dxa"/>
          </w:tcPr>
          <w:p w:rsidR="00DA4A89" w:rsidRPr="00D14B0E" w:rsidRDefault="00DA4A89" w:rsidP="00DA4A89">
            <w:pPr>
              <w:pStyle w:val="ListParagraph"/>
              <w:numPr>
                <w:ilvl w:val="0"/>
                <w:numId w:val="2"/>
              </w:numPr>
              <w:ind w:left="342" w:hanging="36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4B0E">
              <w:rPr>
                <w:rFonts w:ascii="Arial" w:eastAsia="Calibri" w:hAnsi="Arial" w:cs="Arial"/>
                <w:b/>
                <w:sz w:val="24"/>
                <w:szCs w:val="24"/>
              </w:rPr>
              <w:t>Name of service provider</w:t>
            </w:r>
          </w:p>
        </w:tc>
        <w:tc>
          <w:tcPr>
            <w:tcW w:w="2970" w:type="dxa"/>
          </w:tcPr>
          <w:p w:rsidR="00DA4A89" w:rsidRPr="00D14B0E" w:rsidRDefault="00DA4A89" w:rsidP="00DA4A89">
            <w:pPr>
              <w:pStyle w:val="ListParagraph"/>
              <w:numPr>
                <w:ilvl w:val="0"/>
                <w:numId w:val="2"/>
              </w:numPr>
              <w:ind w:left="336" w:hanging="336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4B0E">
              <w:rPr>
                <w:rFonts w:ascii="Arial" w:eastAsia="Calibri" w:hAnsi="Arial" w:cs="Arial"/>
                <w:b/>
                <w:sz w:val="24"/>
                <w:szCs w:val="24"/>
              </w:rPr>
              <w:t>Purpose</w:t>
            </w:r>
          </w:p>
        </w:tc>
        <w:tc>
          <w:tcPr>
            <w:tcW w:w="1817" w:type="dxa"/>
          </w:tcPr>
          <w:p w:rsidR="00DA4A89" w:rsidRPr="00D14B0E" w:rsidRDefault="00DA4A89" w:rsidP="00DA4A89">
            <w:pPr>
              <w:pStyle w:val="ListParagraph"/>
              <w:numPr>
                <w:ilvl w:val="0"/>
                <w:numId w:val="2"/>
              </w:numPr>
              <w:ind w:left="474" w:hanging="47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4B0E">
              <w:rPr>
                <w:rFonts w:ascii="Arial" w:eastAsia="Calibri" w:hAnsi="Arial" w:cs="Arial"/>
                <w:b/>
                <w:sz w:val="24"/>
                <w:szCs w:val="24"/>
              </w:rPr>
              <w:t>Value</w:t>
            </w:r>
          </w:p>
        </w:tc>
        <w:tc>
          <w:tcPr>
            <w:tcW w:w="2254" w:type="dxa"/>
          </w:tcPr>
          <w:p w:rsidR="00DA4A89" w:rsidRPr="00D14B0E" w:rsidRDefault="00DA4A89" w:rsidP="00DA4A89">
            <w:pPr>
              <w:pStyle w:val="ListParagraph"/>
              <w:numPr>
                <w:ilvl w:val="0"/>
                <w:numId w:val="2"/>
              </w:numPr>
              <w:ind w:left="414" w:hanging="41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4B0E">
              <w:rPr>
                <w:rFonts w:ascii="Arial" w:eastAsia="Calibri" w:hAnsi="Arial" w:cs="Arial"/>
                <w:b/>
                <w:sz w:val="24"/>
                <w:szCs w:val="24"/>
              </w:rPr>
              <w:t>Duration of each contract</w:t>
            </w:r>
          </w:p>
        </w:tc>
      </w:tr>
      <w:tr w:rsidR="00DA4A89" w:rsidTr="0072158D">
        <w:tc>
          <w:tcPr>
            <w:tcW w:w="1975" w:type="dxa"/>
          </w:tcPr>
          <w:p w:rsidR="00DA4A89" w:rsidRDefault="00DA4A89" w:rsidP="0072158D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Tyeks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Security Services</w:t>
            </w:r>
          </w:p>
        </w:tc>
        <w:tc>
          <w:tcPr>
            <w:tcW w:w="2970" w:type="dxa"/>
          </w:tcPr>
          <w:p w:rsidR="00DA4A89" w:rsidRDefault="00DA4A89" w:rsidP="0072158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Alarm Monitoring and Guard Services (day and night) for the Eastern Cape Provincial Office</w:t>
            </w:r>
          </w:p>
        </w:tc>
        <w:tc>
          <w:tcPr>
            <w:tcW w:w="1817" w:type="dxa"/>
          </w:tcPr>
          <w:p w:rsidR="00DA4A89" w:rsidRDefault="00DA4A89" w:rsidP="0072158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R614 477.76 </w:t>
            </w:r>
          </w:p>
        </w:tc>
        <w:tc>
          <w:tcPr>
            <w:tcW w:w="2254" w:type="dxa"/>
          </w:tcPr>
          <w:p w:rsidR="00DA4A89" w:rsidRDefault="00DA4A89" w:rsidP="0072158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November 2019 to 31 October 2021</w:t>
            </w:r>
          </w:p>
        </w:tc>
      </w:tr>
      <w:tr w:rsidR="00DA4A89" w:rsidTr="0072158D">
        <w:tc>
          <w:tcPr>
            <w:tcW w:w="1975" w:type="dxa"/>
          </w:tcPr>
          <w:p w:rsidR="00DA4A89" w:rsidRDefault="00DA4A89" w:rsidP="0072158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Divergent OPS (Pty) Ltd</w:t>
            </w:r>
          </w:p>
        </w:tc>
        <w:tc>
          <w:tcPr>
            <w:tcW w:w="2970" w:type="dxa"/>
          </w:tcPr>
          <w:p w:rsidR="00DA4A89" w:rsidRDefault="00DA4A89" w:rsidP="0072158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Alarm Monitoring for the Mpumalanga Provincial Office</w:t>
            </w:r>
          </w:p>
        </w:tc>
        <w:tc>
          <w:tcPr>
            <w:tcW w:w="1817" w:type="dxa"/>
          </w:tcPr>
          <w:p w:rsidR="00DA4A89" w:rsidRDefault="00DA4A89" w:rsidP="0072158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R40 986.00</w:t>
            </w:r>
          </w:p>
        </w:tc>
        <w:tc>
          <w:tcPr>
            <w:tcW w:w="2254" w:type="dxa"/>
          </w:tcPr>
          <w:p w:rsidR="00DA4A89" w:rsidRDefault="00DA4A89" w:rsidP="0072158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March 2020 to 28 February 2022</w:t>
            </w:r>
          </w:p>
        </w:tc>
      </w:tr>
      <w:tr w:rsidR="00DA4A89" w:rsidTr="0072158D">
        <w:tc>
          <w:tcPr>
            <w:tcW w:w="1975" w:type="dxa"/>
          </w:tcPr>
          <w:p w:rsidR="00DA4A89" w:rsidRDefault="00DA4A89" w:rsidP="0072158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National Security and Fire</w:t>
            </w:r>
          </w:p>
        </w:tc>
        <w:tc>
          <w:tcPr>
            <w:tcW w:w="2970" w:type="dxa"/>
          </w:tcPr>
          <w:p w:rsidR="00DA4A89" w:rsidRDefault="00DA4A89" w:rsidP="0072158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Alarm Monitoring for the Limpopo Provincial Office</w:t>
            </w:r>
          </w:p>
        </w:tc>
        <w:tc>
          <w:tcPr>
            <w:tcW w:w="1817" w:type="dxa"/>
          </w:tcPr>
          <w:p w:rsidR="00DA4A89" w:rsidRDefault="00DA4A89" w:rsidP="0072158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R44 683.35</w:t>
            </w:r>
          </w:p>
        </w:tc>
        <w:tc>
          <w:tcPr>
            <w:tcW w:w="2254" w:type="dxa"/>
          </w:tcPr>
          <w:p w:rsidR="00DA4A89" w:rsidRDefault="00DA4A89" w:rsidP="0072158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November 2019 to 31 October 2022</w:t>
            </w:r>
          </w:p>
        </w:tc>
      </w:tr>
      <w:tr w:rsidR="00DA4A89" w:rsidTr="0072158D">
        <w:tc>
          <w:tcPr>
            <w:tcW w:w="1975" w:type="dxa"/>
          </w:tcPr>
          <w:p w:rsidR="00DA4A89" w:rsidRDefault="00DA4A89" w:rsidP="0072158D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Defensor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Electronic Security System</w:t>
            </w:r>
          </w:p>
        </w:tc>
        <w:tc>
          <w:tcPr>
            <w:tcW w:w="2970" w:type="dxa"/>
          </w:tcPr>
          <w:p w:rsidR="00DA4A89" w:rsidRDefault="00DA4A89" w:rsidP="0072158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Alarm Monitoring for the Free State Provincial Office</w:t>
            </w:r>
          </w:p>
        </w:tc>
        <w:tc>
          <w:tcPr>
            <w:tcW w:w="1817" w:type="dxa"/>
          </w:tcPr>
          <w:p w:rsidR="00DA4A89" w:rsidRDefault="00DA4A89" w:rsidP="0072158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R11 098.41</w:t>
            </w:r>
          </w:p>
        </w:tc>
        <w:tc>
          <w:tcPr>
            <w:tcW w:w="2254" w:type="dxa"/>
          </w:tcPr>
          <w:p w:rsidR="00DA4A89" w:rsidRDefault="00DA4A89" w:rsidP="0072158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October 2020 to 30 September 2021</w:t>
            </w:r>
          </w:p>
        </w:tc>
      </w:tr>
    </w:tbl>
    <w:p w:rsidR="00DA4A89" w:rsidRDefault="00DA4A89" w:rsidP="00DA4A8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REPLY: DPSA </w:t>
      </w:r>
    </w:p>
    <w:p w:rsidR="00DA4A89" w:rsidRPr="0082098E" w:rsidRDefault="00DA4A89" w:rsidP="00DA4A8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098E">
        <w:rPr>
          <w:rFonts w:ascii="Arial" w:eastAsia="Calibri" w:hAnsi="Arial" w:cs="Arial"/>
          <w:sz w:val="24"/>
          <w:szCs w:val="24"/>
        </w:rPr>
        <w:t>Yes</w:t>
      </w:r>
    </w:p>
    <w:p w:rsidR="00DA4A89" w:rsidRDefault="00DA4A89" w:rsidP="00DA4A89">
      <w:pPr>
        <w:pStyle w:val="ListParagraph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Department of Public Service and Administration:</w:t>
      </w:r>
    </w:p>
    <w:p w:rsidR="00DA4A89" w:rsidRPr="0082098E" w:rsidRDefault="00DA4A89" w:rsidP="00DA4A89">
      <w:pPr>
        <w:pStyle w:val="ListParagraph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DA4A89" w:rsidRPr="0082098E" w:rsidRDefault="00DA4A89" w:rsidP="00DA4A8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82098E">
        <w:rPr>
          <w:rFonts w:ascii="Arial" w:eastAsia="Calibri" w:hAnsi="Arial" w:cs="Arial"/>
          <w:sz w:val="24"/>
          <w:szCs w:val="24"/>
        </w:rPr>
        <w:t>Jackcliffy</w:t>
      </w:r>
      <w:proofErr w:type="spellEnd"/>
      <w:r w:rsidRPr="0082098E">
        <w:rPr>
          <w:rFonts w:ascii="Arial" w:eastAsia="Calibri" w:hAnsi="Arial" w:cs="Arial"/>
          <w:sz w:val="24"/>
          <w:szCs w:val="24"/>
        </w:rPr>
        <w:t xml:space="preserve"> Trading</w:t>
      </w:r>
      <w:r>
        <w:rPr>
          <w:rFonts w:ascii="Arial" w:eastAsia="Calibri" w:hAnsi="Arial" w:cs="Arial"/>
          <w:sz w:val="24"/>
          <w:szCs w:val="24"/>
        </w:rPr>
        <w:t xml:space="preserve"> Cc</w:t>
      </w:r>
    </w:p>
    <w:p w:rsidR="00DA4A89" w:rsidRPr="0082098E" w:rsidRDefault="00DA4A89" w:rsidP="00DA4A8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098E">
        <w:rPr>
          <w:rFonts w:ascii="Arial" w:eastAsia="Calibri" w:hAnsi="Arial" w:cs="Arial"/>
          <w:sz w:val="24"/>
          <w:szCs w:val="24"/>
        </w:rPr>
        <w:t>Security guarding</w:t>
      </w:r>
      <w:r>
        <w:rPr>
          <w:rFonts w:ascii="Arial" w:eastAsia="Calibri" w:hAnsi="Arial" w:cs="Arial"/>
          <w:sz w:val="24"/>
          <w:szCs w:val="24"/>
        </w:rPr>
        <w:t xml:space="preserve"> services during week days, weekends, Public Holidays and nightshift.</w:t>
      </w:r>
    </w:p>
    <w:p w:rsidR="00DA4A89" w:rsidRPr="0082098E" w:rsidRDefault="00DA4A89" w:rsidP="00DA4A8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098E">
        <w:rPr>
          <w:rFonts w:ascii="Arial" w:eastAsia="Calibri" w:hAnsi="Arial" w:cs="Arial"/>
          <w:sz w:val="24"/>
          <w:szCs w:val="24"/>
        </w:rPr>
        <w:t>R2 589 998.80</w:t>
      </w:r>
    </w:p>
    <w:p w:rsidR="00DA4A89" w:rsidRDefault="00DA4A89" w:rsidP="00DA4A8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098E">
        <w:rPr>
          <w:rFonts w:ascii="Arial" w:eastAsia="Calibri" w:hAnsi="Arial" w:cs="Arial"/>
          <w:sz w:val="24"/>
          <w:szCs w:val="24"/>
        </w:rPr>
        <w:t>Two year contract</w:t>
      </w:r>
    </w:p>
    <w:p w:rsidR="00DA4A89" w:rsidRPr="0082098E" w:rsidRDefault="00DA4A89" w:rsidP="00DA4A89">
      <w:pPr>
        <w:pStyle w:val="ListParagraph"/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</w:p>
    <w:p w:rsidR="00DA4A89" w:rsidRPr="005845D2" w:rsidRDefault="00DA4A89" w:rsidP="00DA4A8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5845D2">
        <w:rPr>
          <w:rFonts w:ascii="Arial" w:eastAsia="Calibri" w:hAnsi="Arial" w:cs="Arial"/>
          <w:b/>
          <w:sz w:val="24"/>
          <w:szCs w:val="24"/>
        </w:rPr>
        <w:t>Thusong</w:t>
      </w:r>
      <w:proofErr w:type="spellEnd"/>
      <w:r w:rsidRPr="005845D2">
        <w:rPr>
          <w:rFonts w:ascii="Arial" w:eastAsia="Calibri" w:hAnsi="Arial" w:cs="Arial"/>
          <w:b/>
          <w:sz w:val="24"/>
          <w:szCs w:val="24"/>
        </w:rPr>
        <w:t xml:space="preserve"> Service Centre</w:t>
      </w:r>
    </w:p>
    <w:p w:rsidR="00DA4A89" w:rsidRDefault="00DA4A89" w:rsidP="00DA4A89">
      <w:pPr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DA4A89" w:rsidRPr="00F56BAA" w:rsidRDefault="00DA4A89" w:rsidP="00DA4A89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eastAsia="Calibri" w:hAnsi="Arial" w:cs="Arial"/>
          <w:sz w:val="24"/>
          <w:szCs w:val="24"/>
        </w:rPr>
      </w:pPr>
      <w:proofErr w:type="spellStart"/>
      <w:r w:rsidRPr="00F56BAA">
        <w:rPr>
          <w:rFonts w:ascii="Arial" w:eastAsia="Calibri" w:hAnsi="Arial" w:cs="Arial"/>
          <w:sz w:val="24"/>
          <w:szCs w:val="24"/>
        </w:rPr>
        <w:t>Masutha</w:t>
      </w:r>
      <w:proofErr w:type="spellEnd"/>
      <w:r w:rsidRPr="00F56BAA">
        <w:rPr>
          <w:rFonts w:ascii="Arial" w:eastAsia="Calibri" w:hAnsi="Arial" w:cs="Arial"/>
          <w:sz w:val="24"/>
          <w:szCs w:val="24"/>
        </w:rPr>
        <w:t xml:space="preserve"> Training &amp; Security Services (Pty) Ltd</w:t>
      </w:r>
    </w:p>
    <w:p w:rsidR="00DA4A89" w:rsidRDefault="00DA4A89" w:rsidP="00DA4A89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Security Guarding Services during week days and on Saturday only.</w:t>
      </w:r>
    </w:p>
    <w:p w:rsidR="00DA4A89" w:rsidRDefault="00DA4A89" w:rsidP="00DA4A89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R4 524 399.72</w:t>
      </w:r>
    </w:p>
    <w:p w:rsidR="00DA4A89" w:rsidRPr="00F56BAA" w:rsidRDefault="00DA4A89" w:rsidP="00DA4A89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Three year contract</w:t>
      </w:r>
    </w:p>
    <w:p w:rsidR="00DA4A89" w:rsidRDefault="00DA4A89" w:rsidP="00DA4A8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A4A89" w:rsidRPr="00CA4E8D" w:rsidRDefault="00DA4A89" w:rsidP="00DA4A8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REPLY: CPSI </w:t>
      </w:r>
    </w:p>
    <w:p w:rsidR="00DA4A89" w:rsidRPr="004C6EC2" w:rsidRDefault="00DA4A89" w:rsidP="00DA4A89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C6EC2">
        <w:rPr>
          <w:rFonts w:ascii="Arial" w:hAnsi="Arial" w:cs="Arial"/>
          <w:sz w:val="24"/>
          <w:szCs w:val="24"/>
        </w:rPr>
        <w:t>The CPSI does not make use of private security firms. The organisation has 3 permanently employed Security Officers on the staff establishment.</w:t>
      </w:r>
    </w:p>
    <w:p w:rsidR="00DA4A89" w:rsidRDefault="00DA4A89" w:rsidP="00DA4A89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Pr="00BC24F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N/A</w:t>
      </w:r>
      <w:r w:rsidRPr="00BC24F3">
        <w:rPr>
          <w:rFonts w:ascii="Arial" w:hAnsi="Arial" w:cs="Arial"/>
          <w:sz w:val="24"/>
          <w:szCs w:val="24"/>
        </w:rPr>
        <w:t xml:space="preserve"> </w:t>
      </w:r>
    </w:p>
    <w:p w:rsidR="00DA4A89" w:rsidRDefault="00DA4A89" w:rsidP="00DA4A89">
      <w:pPr>
        <w:tabs>
          <w:tab w:val="center" w:pos="47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C24F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ii</w:t>
      </w:r>
      <w:r w:rsidRPr="00BC24F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N/A</w:t>
      </w:r>
      <w:r>
        <w:rPr>
          <w:rFonts w:ascii="Arial" w:hAnsi="Arial" w:cs="Arial"/>
          <w:sz w:val="24"/>
          <w:szCs w:val="24"/>
        </w:rPr>
        <w:tab/>
      </w:r>
    </w:p>
    <w:p w:rsidR="00DA4A89" w:rsidRDefault="00DA4A89" w:rsidP="00DA4A89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</w:t>
      </w:r>
      <w:r w:rsidRPr="00BC24F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NA</w:t>
      </w:r>
      <w:r w:rsidRPr="00BC24F3">
        <w:rPr>
          <w:rFonts w:ascii="Arial" w:hAnsi="Arial" w:cs="Arial"/>
          <w:sz w:val="24"/>
          <w:szCs w:val="24"/>
        </w:rPr>
        <w:t xml:space="preserve"> </w:t>
      </w:r>
    </w:p>
    <w:p w:rsidR="00DA4A89" w:rsidRDefault="00DA4A89" w:rsidP="00DA4A89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(iv</w:t>
      </w:r>
      <w:r w:rsidRPr="00BC24F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N/A</w:t>
      </w:r>
      <w:r w:rsidRPr="00BC24F3">
        <w:rPr>
          <w:rFonts w:ascii="Arial" w:hAnsi="Arial" w:cs="Arial"/>
          <w:sz w:val="24"/>
          <w:szCs w:val="24"/>
        </w:rPr>
        <w:t xml:space="preserve"> </w:t>
      </w:r>
    </w:p>
    <w:p w:rsidR="00DA4A89" w:rsidRDefault="00DA4A89" w:rsidP="00DA4A89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A4A89" w:rsidRPr="004C6EC2" w:rsidRDefault="00DA4A89" w:rsidP="00DA4A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End </w:t>
      </w:r>
    </w:p>
    <w:p w:rsidR="00171970" w:rsidRDefault="00013FB3"/>
    <w:sectPr w:rsidR="00171970" w:rsidSect="00E83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FB3" w:rsidRDefault="00013FB3" w:rsidP="00DA4A89">
      <w:pPr>
        <w:spacing w:after="0" w:line="240" w:lineRule="auto"/>
      </w:pPr>
      <w:r>
        <w:separator/>
      </w:r>
    </w:p>
  </w:endnote>
  <w:endnote w:type="continuationSeparator" w:id="0">
    <w:p w:rsidR="00013FB3" w:rsidRDefault="00013FB3" w:rsidP="00DA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FB3" w:rsidRDefault="00013FB3" w:rsidP="00DA4A89">
      <w:pPr>
        <w:spacing w:after="0" w:line="240" w:lineRule="auto"/>
      </w:pPr>
      <w:r>
        <w:separator/>
      </w:r>
    </w:p>
  </w:footnote>
  <w:footnote w:type="continuationSeparator" w:id="0">
    <w:p w:rsidR="00013FB3" w:rsidRDefault="00013FB3" w:rsidP="00DA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514"/>
    <w:multiLevelType w:val="hybridMultilevel"/>
    <w:tmpl w:val="82D211C0"/>
    <w:lvl w:ilvl="0" w:tplc="F2F2E7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876F1"/>
    <w:multiLevelType w:val="hybridMultilevel"/>
    <w:tmpl w:val="7DBC2A82"/>
    <w:lvl w:ilvl="0" w:tplc="847AB2D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937BF1"/>
    <w:multiLevelType w:val="hybridMultilevel"/>
    <w:tmpl w:val="2C0041F2"/>
    <w:lvl w:ilvl="0" w:tplc="F82E81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B18F1"/>
    <w:multiLevelType w:val="hybridMultilevel"/>
    <w:tmpl w:val="491053B4"/>
    <w:lvl w:ilvl="0" w:tplc="E3ACDF6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D2D30"/>
    <w:multiLevelType w:val="hybridMultilevel"/>
    <w:tmpl w:val="F7C03D1C"/>
    <w:lvl w:ilvl="0" w:tplc="54687B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B3015"/>
    <w:multiLevelType w:val="hybridMultilevel"/>
    <w:tmpl w:val="F41ED424"/>
    <w:lvl w:ilvl="0" w:tplc="847AB2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A89"/>
    <w:rsid w:val="00013FB3"/>
    <w:rsid w:val="001D0BAA"/>
    <w:rsid w:val="00A474E1"/>
    <w:rsid w:val="00B701AB"/>
    <w:rsid w:val="00DA4A89"/>
    <w:rsid w:val="00E835D6"/>
    <w:rsid w:val="00F7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A89"/>
  </w:style>
  <w:style w:type="paragraph" w:styleId="Footer">
    <w:name w:val="footer"/>
    <w:basedOn w:val="Normal"/>
    <w:link w:val="FooterChar"/>
    <w:uiPriority w:val="99"/>
    <w:unhideWhenUsed/>
    <w:rsid w:val="00DA4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2021-04-12T10:26:00Z</dcterms:created>
  <dcterms:modified xsi:type="dcterms:W3CDTF">2021-04-12T10:26:00Z</dcterms:modified>
</cp:coreProperties>
</file>