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7D7BF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7D7BFD" w:rsidP="007D7BF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7D7BFD" w:rsidP="007D7BF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061D6">
        <w:rPr>
          <w:rFonts w:ascii="Arial" w:eastAsia="Calibri" w:hAnsi="Arial" w:cs="Arial"/>
          <w:b/>
          <w:bCs/>
          <w:lang w:val="en-GB"/>
        </w:rPr>
        <w:t>6</w:t>
      </w:r>
      <w:r w:rsidR="00CE2A17">
        <w:rPr>
          <w:rFonts w:ascii="Arial" w:eastAsia="Calibri" w:hAnsi="Arial" w:cs="Arial"/>
          <w:b/>
          <w:bCs/>
          <w:lang w:val="en-GB"/>
        </w:rPr>
        <w:t>7</w:t>
      </w:r>
      <w:r w:rsidR="00F061D6">
        <w:rPr>
          <w:rFonts w:ascii="Arial" w:eastAsia="Calibri" w:hAnsi="Arial" w:cs="Arial"/>
          <w:b/>
          <w:bCs/>
          <w:lang w:val="en-GB"/>
        </w:rPr>
        <w:t>6</w:t>
      </w:r>
    </w:p>
    <w:p w:rsidR="00130BDB" w:rsidRPr="007D7BFD" w:rsidRDefault="00130BDB" w:rsidP="007D7BFD">
      <w:pPr>
        <w:spacing w:after="200" w:line="276" w:lineRule="auto"/>
        <w:rPr>
          <w:rFonts w:ascii="Arial" w:eastAsia="Calibri" w:hAnsi="Arial" w:cs="Arial"/>
          <w:b/>
          <w:bCs/>
          <w:lang w:val="en-GB"/>
        </w:rPr>
      </w:pPr>
      <w:r w:rsidRPr="007D7BFD">
        <w:rPr>
          <w:rFonts w:ascii="Arial" w:eastAsia="Calibri" w:hAnsi="Arial" w:cs="Arial"/>
          <w:b/>
          <w:bCs/>
          <w:lang w:val="en-GB"/>
        </w:rPr>
        <w:t xml:space="preserve">DATE OF QUESTION: </w:t>
      </w:r>
      <w:r w:rsidR="00C71126" w:rsidRPr="007D7BFD">
        <w:rPr>
          <w:rFonts w:ascii="Arial" w:eastAsia="Calibri" w:hAnsi="Arial" w:cs="Arial"/>
          <w:b/>
          <w:bCs/>
          <w:lang w:val="en-GB"/>
        </w:rPr>
        <w:t>04</w:t>
      </w:r>
      <w:r w:rsidR="007D7BFD" w:rsidRPr="007D7BFD">
        <w:rPr>
          <w:rFonts w:ascii="Arial" w:eastAsia="Calibri" w:hAnsi="Arial" w:cs="Arial"/>
          <w:b/>
          <w:bCs/>
          <w:lang w:val="en-GB"/>
        </w:rPr>
        <w:t xml:space="preserve"> MARCH </w:t>
      </w:r>
      <w:r w:rsidRPr="007D7BFD">
        <w:rPr>
          <w:rFonts w:ascii="Arial" w:eastAsia="Calibri" w:hAnsi="Arial" w:cs="Arial"/>
          <w:b/>
          <w:bCs/>
          <w:lang w:val="en-GB"/>
        </w:rPr>
        <w:t>20</w:t>
      </w:r>
      <w:r w:rsidR="003F2E8D" w:rsidRPr="007D7BFD">
        <w:rPr>
          <w:rFonts w:ascii="Arial" w:eastAsia="Calibri" w:hAnsi="Arial" w:cs="Arial"/>
          <w:b/>
          <w:bCs/>
          <w:lang w:val="en-GB"/>
        </w:rPr>
        <w:t>2</w:t>
      </w:r>
      <w:r w:rsidR="00CC7543" w:rsidRPr="007D7BFD">
        <w:rPr>
          <w:rFonts w:ascii="Arial" w:eastAsia="Calibri" w:hAnsi="Arial" w:cs="Arial"/>
          <w:b/>
          <w:bCs/>
          <w:lang w:val="en-GB"/>
        </w:rPr>
        <w:t>2</w:t>
      </w:r>
    </w:p>
    <w:p w:rsidR="007D7BFD" w:rsidRPr="007D7BFD" w:rsidRDefault="007D7BFD" w:rsidP="007D7BFD">
      <w:pPr>
        <w:spacing w:after="200" w:line="276" w:lineRule="auto"/>
        <w:rPr>
          <w:rFonts w:ascii="Arial" w:eastAsia="Calibri" w:hAnsi="Arial" w:cs="Arial"/>
          <w:b/>
          <w:bCs/>
          <w:lang w:val="en-GB"/>
        </w:rPr>
      </w:pPr>
      <w:r w:rsidRPr="007D7BFD">
        <w:rPr>
          <w:rFonts w:ascii="Arial" w:eastAsia="Calibri" w:hAnsi="Arial" w:cs="Arial"/>
          <w:b/>
          <w:bCs/>
          <w:lang w:val="en-GB"/>
        </w:rPr>
        <w:t>DATE OF QUESTION: 18 MARCH 2022</w:t>
      </w:r>
    </w:p>
    <w:p w:rsidR="00CE2A17" w:rsidRPr="00CE2A17" w:rsidRDefault="00CE2A17" w:rsidP="00CE2A17">
      <w:pPr>
        <w:spacing w:before="120" w:after="120" w:line="360" w:lineRule="auto"/>
        <w:jc w:val="both"/>
        <w:rPr>
          <w:rFonts w:ascii="Arial" w:hAnsi="Arial" w:cs="Arial"/>
          <w:b/>
          <w:bCs/>
          <w:lang w:val="en-ZA"/>
        </w:rPr>
      </w:pPr>
      <w:r w:rsidRPr="00CE2A17">
        <w:rPr>
          <w:rFonts w:ascii="Arial" w:hAnsi="Arial" w:cs="Arial"/>
          <w:b/>
          <w:bCs/>
          <w:lang w:val="en-ZA"/>
        </w:rPr>
        <w:t>Ms B M van Minnen (DA) to ask the Minister of Justice and Correctional Services</w:t>
      </w:r>
      <w:r w:rsidRPr="00CE2A17">
        <w:rPr>
          <w:rFonts w:ascii="Arial" w:hAnsi="Arial" w:cs="Arial"/>
          <w:b/>
          <w:bCs/>
          <w:lang w:val="en-ZA"/>
        </w:rPr>
        <w:fldChar w:fldCharType="begin"/>
      </w:r>
      <w:r w:rsidRPr="00CE2A17">
        <w:rPr>
          <w:rFonts w:ascii="Arial" w:hAnsi="Arial" w:cs="Arial"/>
          <w:b/>
          <w:bCs/>
          <w:lang w:val="en-ZA"/>
        </w:rPr>
        <w:instrText xml:space="preserve"> XE "Justice and Correctional Services" </w:instrText>
      </w:r>
      <w:r w:rsidRPr="00CE2A17">
        <w:rPr>
          <w:rFonts w:ascii="Arial" w:hAnsi="Arial" w:cs="Arial"/>
          <w:b/>
          <w:bCs/>
          <w:lang w:val="en-ZA"/>
        </w:rPr>
        <w:fldChar w:fldCharType="end"/>
      </w:r>
      <w:r w:rsidRPr="00CE2A17">
        <w:rPr>
          <w:rFonts w:ascii="Arial" w:hAnsi="Arial" w:cs="Arial"/>
          <w:b/>
          <w:bCs/>
          <w:lang w:val="en-ZA"/>
        </w:rPr>
        <w:t xml:space="preserve">: </w:t>
      </w:r>
    </w:p>
    <w:p w:rsidR="00CE2A17" w:rsidRDefault="00CE2A17" w:rsidP="00CE2A17">
      <w:pPr>
        <w:spacing w:before="120" w:after="120" w:line="360" w:lineRule="auto"/>
        <w:jc w:val="both"/>
        <w:rPr>
          <w:rFonts w:ascii="Arial" w:hAnsi="Arial" w:cs="Arial"/>
          <w:lang w:val="en-ZA"/>
        </w:rPr>
      </w:pPr>
      <w:r w:rsidRPr="00CE2A17">
        <w:rPr>
          <w:rFonts w:ascii="Arial" w:hAnsi="Arial" w:cs="Arial"/>
          <w:lang w:val="en-ZA"/>
        </w:rPr>
        <w:t>With reference to a recent meeting of the Standing Committee on Public Accounts, where the Director of Public Prosecutions claimed that they had a 90% conviction rate with regard to high-profile corruption matters but, while the decision to prosecute is reviewed by a court, the decision not to prosecute is not open to review, what (a) number of matters classified as high-profile corruption cases have not been prosecuted after investigation by the Directorate for Priority Crime Investigations and (b) is the true statistics for convi</w:t>
      </w:r>
      <w:r>
        <w:rPr>
          <w:rFonts w:ascii="Arial" w:hAnsi="Arial" w:cs="Arial"/>
          <w:lang w:val="en-ZA"/>
        </w:rPr>
        <w:t>ctions in this class of crime?</w:t>
      </w:r>
    </w:p>
    <w:p w:rsidR="00CE2A17" w:rsidRPr="00CE2A17" w:rsidRDefault="00CE2A17" w:rsidP="00CE2A17">
      <w:pPr>
        <w:spacing w:before="120" w:after="120" w:line="360" w:lineRule="auto"/>
        <w:jc w:val="right"/>
        <w:rPr>
          <w:rFonts w:ascii="Arial" w:hAnsi="Arial" w:cs="Arial"/>
          <w:b/>
          <w:lang w:val="en-ZA"/>
        </w:rPr>
      </w:pPr>
      <w:r w:rsidRPr="00CE2A17">
        <w:rPr>
          <w:rFonts w:ascii="Arial" w:hAnsi="Arial" w:cs="Arial"/>
          <w:b/>
          <w:lang w:val="en-ZA"/>
        </w:rPr>
        <w:t>NW814E</w:t>
      </w:r>
    </w:p>
    <w:p w:rsidR="00983C6B" w:rsidRDefault="00F80E79" w:rsidP="007843AB">
      <w:pPr>
        <w:spacing w:line="360" w:lineRule="auto"/>
        <w:jc w:val="both"/>
        <w:rPr>
          <w:rFonts w:ascii="Arial" w:hAnsi="Arial" w:cs="Arial"/>
          <w:b/>
        </w:rPr>
      </w:pPr>
      <w:r>
        <w:rPr>
          <w:rFonts w:ascii="Arial" w:hAnsi="Arial" w:cs="Arial"/>
          <w:b/>
          <w:lang w:val="en-ZA"/>
        </w:rPr>
        <w:br w:type="page"/>
      </w:r>
      <w:r w:rsidR="0007655F">
        <w:rPr>
          <w:rFonts w:ascii="Arial" w:hAnsi="Arial" w:cs="Arial"/>
          <w:b/>
        </w:rPr>
        <w:lastRenderedPageBreak/>
        <w:t>REPLY:</w:t>
      </w:r>
    </w:p>
    <w:p w:rsidR="007843AB" w:rsidRDefault="007843AB" w:rsidP="007843AB">
      <w:pPr>
        <w:spacing w:line="360" w:lineRule="auto"/>
        <w:jc w:val="both"/>
        <w:rPr>
          <w:rFonts w:ascii="Arial" w:hAnsi="Arial" w:cs="Arial"/>
          <w:b/>
        </w:rPr>
      </w:pPr>
    </w:p>
    <w:p w:rsidR="008B4CD4" w:rsidRPr="008B4CD4" w:rsidRDefault="00DC6E94" w:rsidP="003E3AB0">
      <w:pPr>
        <w:numPr>
          <w:ilvl w:val="0"/>
          <w:numId w:val="44"/>
        </w:numPr>
        <w:spacing w:line="360" w:lineRule="auto"/>
        <w:jc w:val="both"/>
        <w:rPr>
          <w:rFonts w:ascii="Arial" w:hAnsi="Arial" w:cs="Arial"/>
          <w:lang w:val="en-ZA"/>
        </w:rPr>
      </w:pPr>
      <w:r w:rsidRPr="008B4CD4">
        <w:rPr>
          <w:rFonts w:ascii="Arial" w:hAnsi="Arial" w:cs="Arial"/>
          <w:lang w:val="en-ZA"/>
        </w:rPr>
        <w:t>The Anti-Corruption Task Team (ACTT) defines</w:t>
      </w:r>
      <w:r w:rsidR="00002DEB" w:rsidRPr="008B4CD4">
        <w:rPr>
          <w:rFonts w:ascii="Arial" w:hAnsi="Arial" w:cs="Arial"/>
          <w:lang w:val="en-ZA"/>
        </w:rPr>
        <w:t xml:space="preserve"> “high-profile corruption</w:t>
      </w:r>
      <w:r w:rsidRPr="008B4CD4">
        <w:rPr>
          <w:rFonts w:ascii="Arial" w:hAnsi="Arial" w:cs="Arial"/>
          <w:lang w:val="en-ZA"/>
        </w:rPr>
        <w:t xml:space="preserve"> cases</w:t>
      </w:r>
      <w:r w:rsidR="00002DEB" w:rsidRPr="008B4CD4">
        <w:rPr>
          <w:rFonts w:ascii="Arial" w:hAnsi="Arial" w:cs="Arial"/>
          <w:lang w:val="en-ZA"/>
        </w:rPr>
        <w:t xml:space="preserve">” </w:t>
      </w:r>
      <w:r w:rsidRPr="008B4CD4">
        <w:rPr>
          <w:rFonts w:ascii="Arial" w:hAnsi="Arial" w:cs="Arial"/>
          <w:lang w:val="en-ZA"/>
        </w:rPr>
        <w:t xml:space="preserve">as </w:t>
      </w:r>
      <w:r w:rsidR="00002DEB" w:rsidRPr="008B4CD4">
        <w:rPr>
          <w:rFonts w:ascii="Arial" w:hAnsi="Arial" w:cs="Arial"/>
          <w:lang w:val="en-ZA"/>
        </w:rPr>
        <w:t xml:space="preserve">those corruption cases that have been selected by the Case Management Committee to be part of the ACTT Priority </w:t>
      </w:r>
      <w:r w:rsidR="00377DA7" w:rsidRPr="008B4CD4">
        <w:rPr>
          <w:rFonts w:ascii="Arial" w:hAnsi="Arial" w:cs="Arial"/>
          <w:lang w:val="en-ZA"/>
        </w:rPr>
        <w:t>L</w:t>
      </w:r>
      <w:r w:rsidR="00002DEB" w:rsidRPr="008B4CD4">
        <w:rPr>
          <w:rFonts w:ascii="Arial" w:hAnsi="Arial" w:cs="Arial"/>
          <w:lang w:val="en-ZA"/>
        </w:rPr>
        <w:t xml:space="preserve">ist. The aforementioned </w:t>
      </w:r>
      <w:r w:rsidR="00C70C10" w:rsidRPr="008B4CD4">
        <w:rPr>
          <w:rFonts w:ascii="Arial" w:hAnsi="Arial" w:cs="Arial"/>
          <w:lang w:val="en-ZA"/>
        </w:rPr>
        <w:t>c</w:t>
      </w:r>
      <w:r w:rsidR="00002DEB" w:rsidRPr="008B4CD4">
        <w:rPr>
          <w:rFonts w:ascii="Arial" w:hAnsi="Arial" w:cs="Arial"/>
          <w:lang w:val="en-ZA"/>
        </w:rPr>
        <w:t xml:space="preserve">ase </w:t>
      </w:r>
      <w:r w:rsidR="00C70C10" w:rsidRPr="008B4CD4">
        <w:rPr>
          <w:rFonts w:ascii="Arial" w:hAnsi="Arial" w:cs="Arial"/>
          <w:lang w:val="en-ZA"/>
        </w:rPr>
        <w:t>m</w:t>
      </w:r>
      <w:r w:rsidR="00002DEB" w:rsidRPr="008B4CD4">
        <w:rPr>
          <w:rFonts w:ascii="Arial" w:hAnsi="Arial" w:cs="Arial"/>
          <w:lang w:val="en-ZA"/>
        </w:rPr>
        <w:t xml:space="preserve">anagement </w:t>
      </w:r>
      <w:r w:rsidR="00C70C10" w:rsidRPr="008B4CD4">
        <w:rPr>
          <w:rFonts w:ascii="Arial" w:hAnsi="Arial" w:cs="Arial"/>
          <w:lang w:val="en-ZA"/>
        </w:rPr>
        <w:t>c</w:t>
      </w:r>
      <w:r w:rsidR="00002DEB" w:rsidRPr="008B4CD4">
        <w:rPr>
          <w:rFonts w:ascii="Arial" w:hAnsi="Arial" w:cs="Arial"/>
          <w:lang w:val="en-ZA"/>
        </w:rPr>
        <w:t xml:space="preserve">ommittee consist of members from various </w:t>
      </w:r>
      <w:r w:rsidRPr="008B4CD4">
        <w:rPr>
          <w:rFonts w:ascii="Arial" w:hAnsi="Arial" w:cs="Arial"/>
          <w:lang w:val="en-ZA"/>
        </w:rPr>
        <w:t>institutions</w:t>
      </w:r>
      <w:r w:rsidR="00002DEB" w:rsidRPr="008B4CD4">
        <w:rPr>
          <w:rFonts w:ascii="Arial" w:hAnsi="Arial" w:cs="Arial"/>
          <w:lang w:val="en-ZA"/>
        </w:rPr>
        <w:t xml:space="preserve"> including the </w:t>
      </w:r>
      <w:r w:rsidR="00744F01" w:rsidRPr="008B4CD4">
        <w:rPr>
          <w:rFonts w:ascii="Arial" w:hAnsi="Arial" w:cs="Arial"/>
          <w:lang w:val="en-ZA"/>
        </w:rPr>
        <w:t>Directorate for Priority Crime Investigations (</w:t>
      </w:r>
      <w:r w:rsidR="00002DEB" w:rsidRPr="008B4CD4">
        <w:rPr>
          <w:rFonts w:ascii="Arial" w:hAnsi="Arial" w:cs="Arial"/>
          <w:lang w:val="en-ZA"/>
        </w:rPr>
        <w:t>DPCI</w:t>
      </w:r>
      <w:r w:rsidR="00744F01" w:rsidRPr="008B4CD4">
        <w:rPr>
          <w:rFonts w:ascii="Arial" w:hAnsi="Arial" w:cs="Arial"/>
          <w:lang w:val="en-ZA"/>
        </w:rPr>
        <w:t>)</w:t>
      </w:r>
      <w:r w:rsidR="00002DEB" w:rsidRPr="008B4CD4">
        <w:rPr>
          <w:rFonts w:ascii="Arial" w:hAnsi="Arial" w:cs="Arial"/>
          <w:lang w:val="en-ZA"/>
        </w:rPr>
        <w:t xml:space="preserve">, </w:t>
      </w:r>
      <w:r w:rsidR="003E3AB0">
        <w:rPr>
          <w:rFonts w:ascii="Arial" w:hAnsi="Arial" w:cs="Arial"/>
          <w:lang w:val="en-ZA"/>
        </w:rPr>
        <w:t>Special Investigating Unit (</w:t>
      </w:r>
      <w:r w:rsidR="00002DEB" w:rsidRPr="008B4CD4">
        <w:rPr>
          <w:rFonts w:ascii="Arial" w:hAnsi="Arial" w:cs="Arial"/>
          <w:lang w:val="en-ZA"/>
        </w:rPr>
        <w:t>SIU</w:t>
      </w:r>
      <w:r w:rsidR="003E3AB0">
        <w:rPr>
          <w:rFonts w:ascii="Arial" w:hAnsi="Arial" w:cs="Arial"/>
          <w:lang w:val="en-ZA"/>
        </w:rPr>
        <w:t>)</w:t>
      </w:r>
      <w:r w:rsidR="00002DEB" w:rsidRPr="008B4CD4">
        <w:rPr>
          <w:rFonts w:ascii="Arial" w:hAnsi="Arial" w:cs="Arial"/>
          <w:lang w:val="en-ZA"/>
        </w:rPr>
        <w:t xml:space="preserve">, </w:t>
      </w:r>
      <w:r w:rsidR="003E3AB0" w:rsidRPr="003E3AB0">
        <w:rPr>
          <w:rFonts w:ascii="Arial" w:hAnsi="Arial" w:cs="Arial"/>
          <w:lang w:val="en-ZA"/>
        </w:rPr>
        <w:t xml:space="preserve">Financial Intelligence Centre </w:t>
      </w:r>
      <w:r w:rsidR="003E3AB0">
        <w:rPr>
          <w:rFonts w:ascii="Arial" w:hAnsi="Arial" w:cs="Arial"/>
          <w:lang w:val="en-ZA"/>
        </w:rPr>
        <w:t>(</w:t>
      </w:r>
      <w:r w:rsidR="00002DEB" w:rsidRPr="008B4CD4">
        <w:rPr>
          <w:rFonts w:ascii="Arial" w:hAnsi="Arial" w:cs="Arial"/>
          <w:lang w:val="en-ZA"/>
        </w:rPr>
        <w:t>FIC</w:t>
      </w:r>
      <w:r w:rsidR="003E3AB0">
        <w:rPr>
          <w:rFonts w:ascii="Arial" w:hAnsi="Arial" w:cs="Arial"/>
          <w:lang w:val="en-ZA"/>
        </w:rPr>
        <w:t>)</w:t>
      </w:r>
      <w:r w:rsidR="00002DEB" w:rsidRPr="008B4CD4">
        <w:rPr>
          <w:rFonts w:ascii="Arial" w:hAnsi="Arial" w:cs="Arial"/>
          <w:lang w:val="en-ZA"/>
        </w:rPr>
        <w:t xml:space="preserve">, </w:t>
      </w:r>
      <w:r w:rsidR="003E3AB0">
        <w:rPr>
          <w:rFonts w:ascii="Arial" w:hAnsi="Arial" w:cs="Arial"/>
          <w:lang w:val="en-ZA"/>
        </w:rPr>
        <w:t>National Prosecuting Authority (</w:t>
      </w:r>
      <w:r w:rsidR="00002DEB" w:rsidRPr="008B4CD4">
        <w:rPr>
          <w:rFonts w:ascii="Arial" w:hAnsi="Arial" w:cs="Arial"/>
          <w:lang w:val="en-ZA"/>
        </w:rPr>
        <w:t>NPA</w:t>
      </w:r>
      <w:r w:rsidR="003E3AB0">
        <w:rPr>
          <w:rFonts w:ascii="Arial" w:hAnsi="Arial" w:cs="Arial"/>
          <w:lang w:val="en-ZA"/>
        </w:rPr>
        <w:t>)</w:t>
      </w:r>
      <w:r w:rsidR="00002DEB" w:rsidRPr="008B4CD4">
        <w:rPr>
          <w:rFonts w:ascii="Arial" w:hAnsi="Arial" w:cs="Arial"/>
          <w:lang w:val="en-ZA"/>
        </w:rPr>
        <w:t>, National Treasury and D</w:t>
      </w:r>
      <w:r w:rsidR="003E3AB0">
        <w:rPr>
          <w:rFonts w:ascii="Arial" w:hAnsi="Arial" w:cs="Arial"/>
          <w:lang w:val="en-ZA"/>
        </w:rPr>
        <w:t xml:space="preserve">epartment </w:t>
      </w:r>
      <w:r w:rsidR="00002DEB" w:rsidRPr="008B4CD4">
        <w:rPr>
          <w:rFonts w:ascii="Arial" w:hAnsi="Arial" w:cs="Arial"/>
          <w:lang w:val="en-ZA"/>
        </w:rPr>
        <w:t>P</w:t>
      </w:r>
      <w:r w:rsidR="003E3AB0">
        <w:rPr>
          <w:rFonts w:ascii="Arial" w:hAnsi="Arial" w:cs="Arial"/>
          <w:lang w:val="en-ZA"/>
        </w:rPr>
        <w:t xml:space="preserve">ublic </w:t>
      </w:r>
      <w:r w:rsidR="00002DEB" w:rsidRPr="008B4CD4">
        <w:rPr>
          <w:rFonts w:ascii="Arial" w:hAnsi="Arial" w:cs="Arial"/>
          <w:lang w:val="en-ZA"/>
        </w:rPr>
        <w:t>S</w:t>
      </w:r>
      <w:r w:rsidR="003E3AB0">
        <w:rPr>
          <w:rFonts w:ascii="Arial" w:hAnsi="Arial" w:cs="Arial"/>
          <w:lang w:val="en-ZA"/>
        </w:rPr>
        <w:t xml:space="preserve">ervice and </w:t>
      </w:r>
      <w:r w:rsidR="00002DEB" w:rsidRPr="008B4CD4">
        <w:rPr>
          <w:rFonts w:ascii="Arial" w:hAnsi="Arial" w:cs="Arial"/>
          <w:lang w:val="en-ZA"/>
        </w:rPr>
        <w:t>A</w:t>
      </w:r>
      <w:r w:rsidR="003E3AB0">
        <w:rPr>
          <w:rFonts w:ascii="Arial" w:hAnsi="Arial" w:cs="Arial"/>
          <w:lang w:val="en-ZA"/>
        </w:rPr>
        <w:t>dministration (DPSA)</w:t>
      </w:r>
      <w:r w:rsidR="00002DEB" w:rsidRPr="008B4CD4">
        <w:rPr>
          <w:rFonts w:ascii="Arial" w:hAnsi="Arial" w:cs="Arial"/>
          <w:lang w:val="en-ZA"/>
        </w:rPr>
        <w:t xml:space="preserve">. </w:t>
      </w:r>
    </w:p>
    <w:p w:rsidR="008B4CD4" w:rsidRDefault="008B4CD4" w:rsidP="008B4CD4">
      <w:pPr>
        <w:spacing w:line="360" w:lineRule="auto"/>
        <w:ind w:left="360"/>
        <w:jc w:val="both"/>
        <w:rPr>
          <w:rFonts w:ascii="Arial" w:hAnsi="Arial" w:cs="Arial"/>
          <w:lang w:val="en-ZA"/>
        </w:rPr>
      </w:pPr>
    </w:p>
    <w:p w:rsidR="008B4CD4" w:rsidRDefault="00002DEB" w:rsidP="008B4CD4">
      <w:pPr>
        <w:spacing w:line="360" w:lineRule="auto"/>
        <w:ind w:left="360"/>
        <w:jc w:val="both"/>
        <w:rPr>
          <w:rFonts w:ascii="Arial" w:hAnsi="Arial" w:cs="Arial"/>
          <w:lang w:val="en-ZA"/>
        </w:rPr>
      </w:pPr>
      <w:r w:rsidRPr="008B4CD4">
        <w:rPr>
          <w:rFonts w:ascii="Arial" w:hAnsi="Arial" w:cs="Arial"/>
          <w:lang w:val="en-ZA"/>
        </w:rPr>
        <w:t xml:space="preserve">The </w:t>
      </w:r>
      <w:r w:rsidR="00C70C10" w:rsidRPr="008B4CD4">
        <w:rPr>
          <w:rFonts w:ascii="Arial" w:hAnsi="Arial" w:cs="Arial"/>
          <w:lang w:val="en-ZA"/>
        </w:rPr>
        <w:t>c</w:t>
      </w:r>
      <w:r w:rsidRPr="008B4CD4">
        <w:rPr>
          <w:rFonts w:ascii="Arial" w:hAnsi="Arial" w:cs="Arial"/>
          <w:lang w:val="en-ZA"/>
        </w:rPr>
        <w:t xml:space="preserve">ase </w:t>
      </w:r>
      <w:r w:rsidR="00C70C10" w:rsidRPr="008B4CD4">
        <w:rPr>
          <w:rFonts w:ascii="Arial" w:hAnsi="Arial" w:cs="Arial"/>
          <w:lang w:val="en-ZA"/>
        </w:rPr>
        <w:t>i</w:t>
      </w:r>
      <w:r w:rsidRPr="008B4CD4">
        <w:rPr>
          <w:rFonts w:ascii="Arial" w:hAnsi="Arial" w:cs="Arial"/>
          <w:lang w:val="en-ZA"/>
        </w:rPr>
        <w:t xml:space="preserve">ntake </w:t>
      </w:r>
      <w:r w:rsidR="00C70C10" w:rsidRPr="008B4CD4">
        <w:rPr>
          <w:rFonts w:ascii="Arial" w:hAnsi="Arial" w:cs="Arial"/>
          <w:lang w:val="en-ZA"/>
        </w:rPr>
        <w:t>c</w:t>
      </w:r>
      <w:r w:rsidRPr="008B4CD4">
        <w:rPr>
          <w:rFonts w:ascii="Arial" w:hAnsi="Arial" w:cs="Arial"/>
          <w:lang w:val="en-ZA"/>
        </w:rPr>
        <w:t>riteria ha</w:t>
      </w:r>
      <w:r w:rsidR="00DC6E94" w:rsidRPr="008B4CD4">
        <w:rPr>
          <w:rFonts w:ascii="Arial" w:hAnsi="Arial" w:cs="Arial"/>
          <w:lang w:val="en-ZA"/>
        </w:rPr>
        <w:t>ve</w:t>
      </w:r>
      <w:r w:rsidR="00842295">
        <w:rPr>
          <w:rFonts w:ascii="Arial" w:hAnsi="Arial" w:cs="Arial"/>
          <w:lang w:val="en-ZA"/>
        </w:rPr>
        <w:t xml:space="preserve"> been reviewed by the ACTT Executive Committee (EXCO),</w:t>
      </w:r>
      <w:r w:rsidRPr="008B4CD4">
        <w:rPr>
          <w:rFonts w:ascii="Arial" w:hAnsi="Arial" w:cs="Arial"/>
          <w:lang w:val="en-ZA"/>
        </w:rPr>
        <w:t xml:space="preserve"> and consists of a number of variables such as the monetary value, profile of the accused such as </w:t>
      </w:r>
      <w:r w:rsidR="00842295">
        <w:rPr>
          <w:rFonts w:ascii="Arial" w:hAnsi="Arial" w:cs="Arial"/>
          <w:lang w:val="en-ZA"/>
        </w:rPr>
        <w:t>M</w:t>
      </w:r>
      <w:r w:rsidRPr="008B4CD4">
        <w:rPr>
          <w:rFonts w:ascii="Arial" w:hAnsi="Arial" w:cs="Arial"/>
          <w:lang w:val="en-ZA"/>
        </w:rPr>
        <w:t xml:space="preserve">unicipal </w:t>
      </w:r>
      <w:r w:rsidR="00842295">
        <w:rPr>
          <w:rFonts w:ascii="Arial" w:hAnsi="Arial" w:cs="Arial"/>
          <w:lang w:val="en-ZA"/>
        </w:rPr>
        <w:t>M</w:t>
      </w:r>
      <w:r w:rsidRPr="008B4CD4">
        <w:rPr>
          <w:rFonts w:ascii="Arial" w:hAnsi="Arial" w:cs="Arial"/>
          <w:lang w:val="en-ZA"/>
        </w:rPr>
        <w:t>anagers</w:t>
      </w:r>
      <w:r w:rsidR="00C70C10" w:rsidRPr="008B4CD4">
        <w:rPr>
          <w:rFonts w:ascii="Arial" w:hAnsi="Arial" w:cs="Arial"/>
          <w:lang w:val="en-ZA"/>
        </w:rPr>
        <w:t>,</w:t>
      </w:r>
      <w:r w:rsidRPr="008B4CD4">
        <w:rPr>
          <w:rFonts w:ascii="Arial" w:hAnsi="Arial" w:cs="Arial"/>
          <w:lang w:val="en-ZA"/>
        </w:rPr>
        <w:t xml:space="preserve"> </w:t>
      </w:r>
      <w:r w:rsidR="00842295">
        <w:rPr>
          <w:rFonts w:ascii="Arial" w:hAnsi="Arial" w:cs="Arial"/>
          <w:lang w:val="en-ZA"/>
        </w:rPr>
        <w:t>A</w:t>
      </w:r>
      <w:r w:rsidRPr="008B4CD4">
        <w:rPr>
          <w:rFonts w:ascii="Arial" w:hAnsi="Arial" w:cs="Arial"/>
          <w:lang w:val="en-ZA"/>
        </w:rPr>
        <w:t xml:space="preserve">ccounting </w:t>
      </w:r>
      <w:r w:rsidR="00842295">
        <w:rPr>
          <w:rFonts w:ascii="Arial" w:hAnsi="Arial" w:cs="Arial"/>
          <w:lang w:val="en-ZA"/>
        </w:rPr>
        <w:t>O</w:t>
      </w:r>
      <w:r w:rsidRPr="008B4CD4">
        <w:rPr>
          <w:rFonts w:ascii="Arial" w:hAnsi="Arial" w:cs="Arial"/>
          <w:lang w:val="en-ZA"/>
        </w:rPr>
        <w:t>fficers</w:t>
      </w:r>
      <w:r w:rsidR="00C70C10" w:rsidRPr="008B4CD4">
        <w:rPr>
          <w:rFonts w:ascii="Arial" w:hAnsi="Arial" w:cs="Arial"/>
          <w:lang w:val="en-ZA"/>
        </w:rPr>
        <w:t xml:space="preserve"> and alike, g</w:t>
      </w:r>
      <w:r w:rsidRPr="008B4CD4">
        <w:rPr>
          <w:rFonts w:ascii="Arial" w:hAnsi="Arial" w:cs="Arial"/>
          <w:lang w:val="en-ZA"/>
        </w:rPr>
        <w:t xml:space="preserve">overnment priorities based on sectors identified to be vulnerable and the crime type, which are scored according to set criteria in order to determine if any particular matter should be adopted onto the list. </w:t>
      </w:r>
    </w:p>
    <w:p w:rsidR="008B4CD4" w:rsidRDefault="008B4CD4" w:rsidP="008B4CD4">
      <w:pPr>
        <w:spacing w:line="360" w:lineRule="auto"/>
        <w:ind w:left="360"/>
        <w:jc w:val="both"/>
        <w:rPr>
          <w:rFonts w:ascii="Arial" w:hAnsi="Arial" w:cs="Arial"/>
          <w:lang w:val="en-ZA"/>
        </w:rPr>
      </w:pPr>
    </w:p>
    <w:p w:rsidR="008B4CD4" w:rsidRDefault="00002DEB" w:rsidP="008B4CD4">
      <w:pPr>
        <w:spacing w:line="360" w:lineRule="auto"/>
        <w:ind w:left="360"/>
        <w:jc w:val="both"/>
        <w:rPr>
          <w:rFonts w:ascii="Arial" w:hAnsi="Arial" w:cs="Arial"/>
          <w:lang w:val="en-ZA"/>
        </w:rPr>
      </w:pPr>
      <w:r w:rsidRPr="00002DEB">
        <w:rPr>
          <w:rFonts w:ascii="Arial" w:hAnsi="Arial" w:cs="Arial"/>
          <w:lang w:val="en-ZA"/>
        </w:rPr>
        <w:t>The statement</w:t>
      </w:r>
      <w:r w:rsidR="00C70C10">
        <w:rPr>
          <w:rFonts w:ascii="Arial" w:hAnsi="Arial" w:cs="Arial"/>
          <w:lang w:val="en-ZA"/>
        </w:rPr>
        <w:t xml:space="preserve"> made as part of this parliamentary question,</w:t>
      </w:r>
      <w:r w:rsidRPr="00002DEB">
        <w:rPr>
          <w:rFonts w:ascii="Arial" w:hAnsi="Arial" w:cs="Arial"/>
          <w:lang w:val="en-ZA"/>
        </w:rPr>
        <w:t xml:space="preserve"> that </w:t>
      </w:r>
      <w:r w:rsidR="00C70C10">
        <w:rPr>
          <w:rFonts w:ascii="Arial" w:hAnsi="Arial" w:cs="Arial"/>
          <w:lang w:val="en-ZA"/>
        </w:rPr>
        <w:t>“</w:t>
      </w:r>
      <w:r w:rsidRPr="00002DEB">
        <w:rPr>
          <w:rFonts w:ascii="Arial" w:hAnsi="Arial" w:cs="Arial"/>
          <w:lang w:val="en-ZA"/>
        </w:rPr>
        <w:t>a decision not to prosecute is not open to review</w:t>
      </w:r>
      <w:r w:rsidR="00C70C10">
        <w:rPr>
          <w:rFonts w:ascii="Arial" w:hAnsi="Arial" w:cs="Arial"/>
          <w:lang w:val="en-ZA"/>
        </w:rPr>
        <w:t>”,</w:t>
      </w:r>
      <w:r w:rsidRPr="00002DEB">
        <w:rPr>
          <w:rFonts w:ascii="Arial" w:hAnsi="Arial" w:cs="Arial"/>
          <w:lang w:val="en-ZA"/>
        </w:rPr>
        <w:t xml:space="preserve"> is not factually correct as a number of options are open to any complainant or person with material interest in the matter. In terms of section 6(b) of the Criminal Procedure Act, Act 51 of 1977, such persons may apply for a </w:t>
      </w:r>
      <w:r w:rsidRPr="00C70C10">
        <w:rPr>
          <w:rFonts w:ascii="Arial" w:hAnsi="Arial" w:cs="Arial"/>
          <w:i/>
          <w:lang w:val="en-ZA"/>
        </w:rPr>
        <w:t>“nolle prosequi”</w:t>
      </w:r>
      <w:r w:rsidR="00C70C10">
        <w:rPr>
          <w:rFonts w:ascii="Arial" w:hAnsi="Arial" w:cs="Arial"/>
          <w:i/>
          <w:lang w:val="en-ZA"/>
        </w:rPr>
        <w:t xml:space="preserve"> </w:t>
      </w:r>
      <w:r w:rsidRPr="00002DEB">
        <w:rPr>
          <w:rFonts w:ascii="Arial" w:hAnsi="Arial" w:cs="Arial"/>
          <w:lang w:val="en-ZA"/>
        </w:rPr>
        <w:t>certificate and decide to institute a private prosecution. Apart from this review procedure in court, any party dissatisfied with a decision of any member of the prosecution authority relating to a decision to prosecute or not to prosecute, may make representations to the relevant Director of Public Prosecutions and/or the National Director of Public Prosecution</w:t>
      </w:r>
      <w:r w:rsidR="00C70C10">
        <w:rPr>
          <w:rFonts w:ascii="Arial" w:hAnsi="Arial" w:cs="Arial"/>
          <w:lang w:val="en-ZA"/>
        </w:rPr>
        <w:t>s</w:t>
      </w:r>
      <w:r w:rsidRPr="00002DEB">
        <w:rPr>
          <w:rFonts w:ascii="Arial" w:hAnsi="Arial" w:cs="Arial"/>
          <w:lang w:val="en-ZA"/>
        </w:rPr>
        <w:t xml:space="preserve">. </w:t>
      </w:r>
    </w:p>
    <w:p w:rsidR="008B4CD4" w:rsidRDefault="008B4CD4" w:rsidP="008B4CD4">
      <w:pPr>
        <w:spacing w:line="360" w:lineRule="auto"/>
        <w:ind w:left="360"/>
        <w:jc w:val="both"/>
        <w:rPr>
          <w:rFonts w:ascii="Arial" w:hAnsi="Arial" w:cs="Arial"/>
          <w:lang w:val="en-ZA"/>
        </w:rPr>
      </w:pPr>
    </w:p>
    <w:p w:rsidR="008B4CD4" w:rsidRDefault="00C70C10" w:rsidP="008B4CD4">
      <w:pPr>
        <w:spacing w:line="360" w:lineRule="auto"/>
        <w:ind w:left="360"/>
        <w:jc w:val="both"/>
        <w:rPr>
          <w:rFonts w:ascii="Arial" w:hAnsi="Arial" w:cs="Arial"/>
          <w:lang w:val="en-ZA"/>
        </w:rPr>
      </w:pPr>
      <w:r>
        <w:rPr>
          <w:rFonts w:ascii="Arial" w:hAnsi="Arial" w:cs="Arial"/>
          <w:lang w:val="en-ZA"/>
        </w:rPr>
        <w:t>Further</w:t>
      </w:r>
      <w:r w:rsidR="00842295">
        <w:rPr>
          <w:rFonts w:ascii="Arial" w:hAnsi="Arial" w:cs="Arial"/>
          <w:lang w:val="en-ZA"/>
        </w:rPr>
        <w:t>more</w:t>
      </w:r>
      <w:r w:rsidR="00002DEB" w:rsidRPr="00002DEB">
        <w:rPr>
          <w:rFonts w:ascii="Arial" w:hAnsi="Arial" w:cs="Arial"/>
          <w:lang w:val="en-ZA"/>
        </w:rPr>
        <w:t>, it is not commonly known</w:t>
      </w:r>
      <w:r>
        <w:rPr>
          <w:rFonts w:ascii="Arial" w:hAnsi="Arial" w:cs="Arial"/>
          <w:lang w:val="en-ZA"/>
        </w:rPr>
        <w:t xml:space="preserve"> that</w:t>
      </w:r>
      <w:r w:rsidR="00002DEB" w:rsidRPr="00002DEB">
        <w:rPr>
          <w:rFonts w:ascii="Arial" w:hAnsi="Arial" w:cs="Arial"/>
          <w:lang w:val="en-ZA"/>
        </w:rPr>
        <w:t xml:space="preserve"> the decisions not to prosecute are explained and discussed amongst the members within the ACTT Case Management Committee where the reason(s) for the decision </w:t>
      </w:r>
      <w:r w:rsidR="00842295">
        <w:rPr>
          <w:rFonts w:ascii="Arial" w:hAnsi="Arial" w:cs="Arial"/>
          <w:lang w:val="en-ZA"/>
        </w:rPr>
        <w:t>is/</w:t>
      </w:r>
      <w:r>
        <w:rPr>
          <w:rFonts w:ascii="Arial" w:hAnsi="Arial" w:cs="Arial"/>
          <w:lang w:val="en-ZA"/>
        </w:rPr>
        <w:t xml:space="preserve">are </w:t>
      </w:r>
      <w:r w:rsidR="00002DEB" w:rsidRPr="00002DEB">
        <w:rPr>
          <w:rFonts w:ascii="Arial" w:hAnsi="Arial" w:cs="Arial"/>
          <w:lang w:val="en-ZA"/>
        </w:rPr>
        <w:t>analysed</w:t>
      </w:r>
      <w:r w:rsidR="00842295">
        <w:rPr>
          <w:rFonts w:ascii="Arial" w:hAnsi="Arial" w:cs="Arial"/>
          <w:lang w:val="en-ZA"/>
        </w:rPr>
        <w:t>,</w:t>
      </w:r>
      <w:r w:rsidR="00002DEB" w:rsidRPr="00002DEB">
        <w:rPr>
          <w:rFonts w:ascii="Arial" w:hAnsi="Arial" w:cs="Arial"/>
          <w:lang w:val="en-ZA"/>
        </w:rPr>
        <w:t xml:space="preserve"> and methods considered to see if any future preventative steps can lead to another result.</w:t>
      </w:r>
    </w:p>
    <w:p w:rsidR="00C70C10" w:rsidRDefault="00002DEB" w:rsidP="008B4CD4">
      <w:pPr>
        <w:spacing w:line="360" w:lineRule="auto"/>
        <w:ind w:left="360"/>
        <w:jc w:val="both"/>
        <w:rPr>
          <w:rFonts w:ascii="Arial" w:hAnsi="Arial" w:cs="Arial"/>
          <w:lang w:val="en-ZA"/>
        </w:rPr>
      </w:pPr>
      <w:r w:rsidRPr="00002DEB">
        <w:rPr>
          <w:rFonts w:ascii="Arial" w:hAnsi="Arial" w:cs="Arial"/>
          <w:lang w:val="en-ZA"/>
        </w:rPr>
        <w:t xml:space="preserve">The following provide a breakdown of the methods of finalisation of </w:t>
      </w:r>
      <w:r w:rsidR="00C70C10">
        <w:rPr>
          <w:rFonts w:ascii="Arial" w:hAnsi="Arial" w:cs="Arial"/>
          <w:lang w:val="en-ZA"/>
        </w:rPr>
        <w:t>priority</w:t>
      </w:r>
      <w:r w:rsidRPr="00002DEB">
        <w:rPr>
          <w:rFonts w:ascii="Arial" w:hAnsi="Arial" w:cs="Arial"/>
          <w:lang w:val="en-ZA"/>
        </w:rPr>
        <w:t xml:space="preserve"> cases over the past ten </w:t>
      </w:r>
      <w:r w:rsidR="00842295">
        <w:rPr>
          <w:rFonts w:ascii="Arial" w:hAnsi="Arial" w:cs="Arial"/>
          <w:lang w:val="en-ZA"/>
        </w:rPr>
        <w:t xml:space="preserve">(10) </w:t>
      </w:r>
      <w:r w:rsidRPr="00002DEB">
        <w:rPr>
          <w:rFonts w:ascii="Arial" w:hAnsi="Arial" w:cs="Arial"/>
          <w:lang w:val="en-ZA"/>
        </w:rPr>
        <w:t xml:space="preserve">years: </w:t>
      </w:r>
    </w:p>
    <w:p w:rsidR="00C70C10" w:rsidRPr="003A7CC2" w:rsidRDefault="00C70C10" w:rsidP="007843AB">
      <w:pPr>
        <w:numPr>
          <w:ilvl w:val="0"/>
          <w:numId w:val="42"/>
        </w:numPr>
        <w:spacing w:line="360" w:lineRule="auto"/>
        <w:jc w:val="both"/>
        <w:rPr>
          <w:rFonts w:ascii="Arial" w:hAnsi="Arial" w:cs="Arial"/>
          <w:lang w:val="en-ZA"/>
        </w:rPr>
      </w:pPr>
      <w:r w:rsidRPr="003A7CC2">
        <w:rPr>
          <w:rFonts w:ascii="Arial" w:hAnsi="Arial" w:cs="Arial"/>
          <w:lang w:val="en-ZA"/>
        </w:rPr>
        <w:t>Verdict Cases</w:t>
      </w:r>
      <w:r w:rsidR="00842295">
        <w:rPr>
          <w:rFonts w:ascii="Arial" w:hAnsi="Arial" w:cs="Arial"/>
          <w:lang w:val="en-ZA"/>
        </w:rPr>
        <w:t>:</w:t>
      </w:r>
    </w:p>
    <w:p w:rsidR="00C70C10" w:rsidRDefault="00C70C10" w:rsidP="007843AB">
      <w:pPr>
        <w:numPr>
          <w:ilvl w:val="1"/>
          <w:numId w:val="42"/>
        </w:numPr>
        <w:spacing w:line="360" w:lineRule="auto"/>
        <w:jc w:val="both"/>
        <w:rPr>
          <w:rFonts w:ascii="Arial" w:hAnsi="Arial" w:cs="Arial"/>
          <w:lang w:val="en-ZA"/>
        </w:rPr>
      </w:pPr>
      <w:r>
        <w:rPr>
          <w:rFonts w:ascii="Arial" w:hAnsi="Arial" w:cs="Arial"/>
          <w:lang w:val="en-ZA"/>
        </w:rPr>
        <w:t>C</w:t>
      </w:r>
      <w:r w:rsidRPr="00002DEB">
        <w:rPr>
          <w:rFonts w:ascii="Arial" w:hAnsi="Arial" w:cs="Arial"/>
          <w:lang w:val="en-ZA"/>
        </w:rPr>
        <w:t>onvictions were obtained in</w:t>
      </w:r>
      <w:r w:rsidR="00842295">
        <w:rPr>
          <w:rFonts w:ascii="Arial" w:hAnsi="Arial" w:cs="Arial"/>
          <w:lang w:val="en-ZA"/>
        </w:rPr>
        <w:t xml:space="preserve"> sixty-one (</w:t>
      </w:r>
      <w:r w:rsidRPr="00002DEB">
        <w:rPr>
          <w:rFonts w:ascii="Arial" w:hAnsi="Arial" w:cs="Arial"/>
          <w:lang w:val="en-ZA"/>
        </w:rPr>
        <w:t>61</w:t>
      </w:r>
      <w:r w:rsidR="00842295">
        <w:rPr>
          <w:rFonts w:ascii="Arial" w:hAnsi="Arial" w:cs="Arial"/>
          <w:lang w:val="en-ZA"/>
        </w:rPr>
        <w:t>)</w:t>
      </w:r>
      <w:r w:rsidRPr="00002DEB">
        <w:rPr>
          <w:rFonts w:ascii="Arial" w:hAnsi="Arial" w:cs="Arial"/>
          <w:lang w:val="en-ZA"/>
        </w:rPr>
        <w:t xml:space="preserve"> trial cases</w:t>
      </w:r>
      <w:r w:rsidR="00842295">
        <w:rPr>
          <w:rFonts w:ascii="Arial" w:hAnsi="Arial" w:cs="Arial"/>
          <w:lang w:val="en-ZA"/>
        </w:rPr>
        <w:t>; and</w:t>
      </w:r>
    </w:p>
    <w:p w:rsidR="00C70C10" w:rsidRDefault="00C70C10" w:rsidP="007843AB">
      <w:pPr>
        <w:numPr>
          <w:ilvl w:val="1"/>
          <w:numId w:val="42"/>
        </w:numPr>
        <w:spacing w:line="360" w:lineRule="auto"/>
        <w:jc w:val="both"/>
        <w:rPr>
          <w:rFonts w:ascii="Arial" w:hAnsi="Arial" w:cs="Arial"/>
          <w:lang w:val="en-ZA"/>
        </w:rPr>
      </w:pPr>
      <w:r>
        <w:rPr>
          <w:rFonts w:ascii="Arial" w:hAnsi="Arial" w:cs="Arial"/>
          <w:lang w:val="en-ZA"/>
        </w:rPr>
        <w:t>There were</w:t>
      </w:r>
      <w:r w:rsidRPr="00002DEB">
        <w:rPr>
          <w:rFonts w:ascii="Arial" w:hAnsi="Arial" w:cs="Arial"/>
          <w:lang w:val="en-ZA"/>
        </w:rPr>
        <w:t xml:space="preserve"> </w:t>
      </w:r>
      <w:r w:rsidR="00842295">
        <w:rPr>
          <w:rFonts w:ascii="Arial" w:hAnsi="Arial" w:cs="Arial"/>
          <w:lang w:val="en-ZA"/>
        </w:rPr>
        <w:t>eight (</w:t>
      </w:r>
      <w:r w:rsidRPr="00002DEB">
        <w:rPr>
          <w:rFonts w:ascii="Arial" w:hAnsi="Arial" w:cs="Arial"/>
          <w:lang w:val="en-ZA"/>
        </w:rPr>
        <w:t>8</w:t>
      </w:r>
      <w:r w:rsidR="00842295">
        <w:rPr>
          <w:rFonts w:ascii="Arial" w:hAnsi="Arial" w:cs="Arial"/>
          <w:lang w:val="en-ZA"/>
        </w:rPr>
        <w:t>)</w:t>
      </w:r>
      <w:r w:rsidRPr="00002DEB">
        <w:rPr>
          <w:rFonts w:ascii="Arial" w:hAnsi="Arial" w:cs="Arial"/>
          <w:lang w:val="en-ZA"/>
        </w:rPr>
        <w:t xml:space="preserve"> acquittals</w:t>
      </w:r>
      <w:r w:rsidR="00842295">
        <w:rPr>
          <w:rFonts w:ascii="Arial" w:hAnsi="Arial" w:cs="Arial"/>
          <w:lang w:val="en-ZA"/>
        </w:rPr>
        <w:t>.</w:t>
      </w:r>
    </w:p>
    <w:p w:rsidR="00C70C10" w:rsidRPr="003A7CC2" w:rsidRDefault="00842295" w:rsidP="007843AB">
      <w:pPr>
        <w:numPr>
          <w:ilvl w:val="0"/>
          <w:numId w:val="42"/>
        </w:numPr>
        <w:spacing w:line="360" w:lineRule="auto"/>
        <w:jc w:val="both"/>
        <w:rPr>
          <w:rFonts w:ascii="Arial" w:hAnsi="Arial" w:cs="Arial"/>
          <w:lang w:val="en-ZA"/>
        </w:rPr>
      </w:pPr>
      <w:r>
        <w:rPr>
          <w:rFonts w:ascii="Arial" w:hAnsi="Arial" w:cs="Arial"/>
          <w:lang w:val="en-ZA"/>
        </w:rPr>
        <w:t>Forty-five (</w:t>
      </w:r>
      <w:r w:rsidR="00002DEB" w:rsidRPr="003A7CC2">
        <w:rPr>
          <w:rFonts w:ascii="Arial" w:hAnsi="Arial" w:cs="Arial"/>
          <w:lang w:val="en-ZA"/>
        </w:rPr>
        <w:t>45</w:t>
      </w:r>
      <w:r>
        <w:rPr>
          <w:rFonts w:ascii="Arial" w:hAnsi="Arial" w:cs="Arial"/>
          <w:lang w:val="en-ZA"/>
        </w:rPr>
        <w:t>)</w:t>
      </w:r>
      <w:r w:rsidR="00002DEB" w:rsidRPr="003A7CC2">
        <w:rPr>
          <w:rFonts w:ascii="Arial" w:hAnsi="Arial" w:cs="Arial"/>
          <w:lang w:val="en-ZA"/>
        </w:rPr>
        <w:t xml:space="preserve"> mat</w:t>
      </w:r>
      <w:r>
        <w:rPr>
          <w:rFonts w:ascii="Arial" w:hAnsi="Arial" w:cs="Arial"/>
          <w:lang w:val="en-ZA"/>
        </w:rPr>
        <w:t>ters were declined to prosecute.</w:t>
      </w:r>
    </w:p>
    <w:p w:rsidR="003A7CC2" w:rsidRPr="003A7CC2" w:rsidRDefault="003A7CC2" w:rsidP="007843AB">
      <w:pPr>
        <w:numPr>
          <w:ilvl w:val="0"/>
          <w:numId w:val="42"/>
        </w:numPr>
        <w:spacing w:line="360" w:lineRule="auto"/>
        <w:jc w:val="both"/>
        <w:rPr>
          <w:rFonts w:ascii="Arial" w:hAnsi="Arial" w:cs="Arial"/>
          <w:lang w:val="en-ZA"/>
        </w:rPr>
      </w:pPr>
      <w:r w:rsidRPr="003A7CC2">
        <w:rPr>
          <w:rFonts w:ascii="Arial" w:hAnsi="Arial" w:cs="Arial"/>
          <w:lang w:val="en-ZA"/>
        </w:rPr>
        <w:t>Matters currently under investigation</w:t>
      </w:r>
      <w:r w:rsidR="003E3AB0">
        <w:rPr>
          <w:rFonts w:ascii="Arial" w:hAnsi="Arial" w:cs="Arial"/>
          <w:lang w:val="en-ZA"/>
        </w:rPr>
        <w:t>/</w:t>
      </w:r>
      <w:r w:rsidRPr="003A7CC2">
        <w:rPr>
          <w:rFonts w:ascii="Arial" w:hAnsi="Arial" w:cs="Arial"/>
          <w:lang w:val="en-ZA"/>
        </w:rPr>
        <w:t>enrolled</w:t>
      </w:r>
      <w:r w:rsidR="00842295">
        <w:rPr>
          <w:rFonts w:ascii="Arial" w:hAnsi="Arial" w:cs="Arial"/>
          <w:lang w:val="en-ZA"/>
        </w:rPr>
        <w:t>:</w:t>
      </w:r>
    </w:p>
    <w:p w:rsidR="00002DEB" w:rsidRPr="003A7CC2" w:rsidRDefault="00842295" w:rsidP="007843AB">
      <w:pPr>
        <w:numPr>
          <w:ilvl w:val="1"/>
          <w:numId w:val="42"/>
        </w:numPr>
        <w:spacing w:line="360" w:lineRule="auto"/>
        <w:jc w:val="both"/>
        <w:rPr>
          <w:rFonts w:ascii="Arial" w:hAnsi="Arial" w:cs="Arial"/>
          <w:lang w:val="en-ZA"/>
        </w:rPr>
      </w:pPr>
      <w:r>
        <w:rPr>
          <w:rFonts w:ascii="Arial" w:hAnsi="Arial" w:cs="Arial"/>
          <w:lang w:val="en-ZA"/>
        </w:rPr>
        <w:t>Seventy-two (</w:t>
      </w:r>
      <w:r w:rsidR="00002DEB" w:rsidRPr="003A7CC2">
        <w:rPr>
          <w:rFonts w:ascii="Arial" w:hAnsi="Arial" w:cs="Arial"/>
          <w:lang w:val="en-ZA"/>
        </w:rPr>
        <w:t>72</w:t>
      </w:r>
      <w:r>
        <w:rPr>
          <w:rFonts w:ascii="Arial" w:hAnsi="Arial" w:cs="Arial"/>
          <w:lang w:val="en-ZA"/>
        </w:rPr>
        <w:t>)</w:t>
      </w:r>
      <w:r w:rsidR="00002DEB" w:rsidRPr="003A7CC2">
        <w:rPr>
          <w:rFonts w:ascii="Arial" w:hAnsi="Arial" w:cs="Arial"/>
          <w:lang w:val="en-ZA"/>
        </w:rPr>
        <w:t xml:space="preserve"> cases are in court</w:t>
      </w:r>
      <w:r w:rsidR="003A7CC2" w:rsidRPr="003A7CC2">
        <w:rPr>
          <w:rFonts w:ascii="Arial" w:hAnsi="Arial" w:cs="Arial"/>
          <w:lang w:val="en-ZA"/>
        </w:rPr>
        <w:t>,</w:t>
      </w:r>
      <w:r w:rsidR="003E3AB0">
        <w:rPr>
          <w:rFonts w:ascii="Arial" w:hAnsi="Arial" w:cs="Arial"/>
          <w:lang w:val="en-ZA"/>
        </w:rPr>
        <w:t xml:space="preserve"> of which </w:t>
      </w:r>
      <w:r>
        <w:rPr>
          <w:rFonts w:ascii="Arial" w:hAnsi="Arial" w:cs="Arial"/>
          <w:lang w:val="en-ZA"/>
        </w:rPr>
        <w:t>nineteen (</w:t>
      </w:r>
      <w:r w:rsidR="003E3AB0">
        <w:rPr>
          <w:rFonts w:ascii="Arial" w:hAnsi="Arial" w:cs="Arial"/>
          <w:lang w:val="en-ZA"/>
        </w:rPr>
        <w:t>19</w:t>
      </w:r>
      <w:r>
        <w:rPr>
          <w:rFonts w:ascii="Arial" w:hAnsi="Arial" w:cs="Arial"/>
          <w:lang w:val="en-ZA"/>
        </w:rPr>
        <w:t>)</w:t>
      </w:r>
      <w:r w:rsidR="003E3AB0">
        <w:rPr>
          <w:rFonts w:ascii="Arial" w:hAnsi="Arial" w:cs="Arial"/>
          <w:lang w:val="en-ZA"/>
        </w:rPr>
        <w:t xml:space="preserve"> are partly heard. </w:t>
      </w:r>
      <w:r w:rsidR="00002DEB" w:rsidRPr="003A7CC2">
        <w:rPr>
          <w:rFonts w:ascii="Arial" w:hAnsi="Arial" w:cs="Arial"/>
          <w:lang w:val="en-ZA"/>
        </w:rPr>
        <w:t>This means that a decision to prosecute was taken in 75% of the aforementioned cases.</w:t>
      </w:r>
    </w:p>
    <w:p w:rsidR="003A7CC2" w:rsidRDefault="003A7CC2" w:rsidP="007843AB">
      <w:pPr>
        <w:spacing w:line="360" w:lineRule="auto"/>
        <w:jc w:val="both"/>
        <w:rPr>
          <w:rFonts w:ascii="Arial" w:hAnsi="Arial" w:cs="Arial"/>
          <w:lang w:val="en-ZA"/>
        </w:rPr>
      </w:pPr>
    </w:p>
    <w:p w:rsidR="00002DEB" w:rsidRPr="003A7CC2" w:rsidRDefault="003A7CC2" w:rsidP="008B4CD4">
      <w:pPr>
        <w:numPr>
          <w:ilvl w:val="0"/>
          <w:numId w:val="44"/>
        </w:numPr>
        <w:spacing w:line="360" w:lineRule="auto"/>
        <w:jc w:val="both"/>
        <w:rPr>
          <w:rFonts w:ascii="Arial" w:hAnsi="Arial" w:cs="Arial"/>
          <w:b/>
          <w:lang w:val="en-ZA"/>
        </w:rPr>
      </w:pPr>
      <w:r w:rsidRPr="008B4CD4">
        <w:rPr>
          <w:rFonts w:ascii="Arial" w:hAnsi="Arial" w:cs="Arial"/>
          <w:lang w:val="en-ZA"/>
        </w:rPr>
        <w:t>T</w:t>
      </w:r>
      <w:r w:rsidR="00002DEB" w:rsidRPr="008B4CD4">
        <w:rPr>
          <w:rFonts w:ascii="Arial" w:hAnsi="Arial" w:cs="Arial"/>
          <w:lang w:val="en-ZA"/>
        </w:rPr>
        <w:t>rue statistics for convictions in this class of crime?</w:t>
      </w:r>
    </w:p>
    <w:p w:rsidR="003E3AB0" w:rsidRDefault="00842295" w:rsidP="003E3AB0">
      <w:pPr>
        <w:spacing w:line="360" w:lineRule="auto"/>
        <w:ind w:firstLine="360"/>
        <w:jc w:val="both"/>
        <w:rPr>
          <w:rFonts w:ascii="Arial" w:hAnsi="Arial" w:cs="Arial"/>
          <w:lang w:val="en-ZA"/>
        </w:rPr>
      </w:pPr>
      <w:r>
        <w:rPr>
          <w:rFonts w:ascii="Arial" w:hAnsi="Arial" w:cs="Arial"/>
          <w:lang w:val="en-ZA"/>
        </w:rPr>
        <w:t>Sixty-one (</w:t>
      </w:r>
      <w:r w:rsidR="00002DEB" w:rsidRPr="00002DEB">
        <w:rPr>
          <w:rFonts w:ascii="Arial" w:hAnsi="Arial" w:cs="Arial"/>
          <w:lang w:val="en-ZA"/>
        </w:rPr>
        <w:t>61</w:t>
      </w:r>
      <w:r>
        <w:rPr>
          <w:rFonts w:ascii="Arial" w:hAnsi="Arial" w:cs="Arial"/>
          <w:lang w:val="en-ZA"/>
        </w:rPr>
        <w:t>)</w:t>
      </w:r>
      <w:r w:rsidR="00002DEB" w:rsidRPr="00002DEB">
        <w:rPr>
          <w:rFonts w:ascii="Arial" w:hAnsi="Arial" w:cs="Arial"/>
          <w:lang w:val="en-ZA"/>
        </w:rPr>
        <w:t xml:space="preserve"> convictions related to cases in which</w:t>
      </w:r>
      <w:r w:rsidR="003A7CC2">
        <w:rPr>
          <w:rFonts w:ascii="Arial" w:hAnsi="Arial" w:cs="Arial"/>
          <w:lang w:val="en-ZA"/>
        </w:rPr>
        <w:t>:</w:t>
      </w:r>
    </w:p>
    <w:p w:rsidR="003A7CC2" w:rsidRDefault="003A7CC2" w:rsidP="003E3AB0">
      <w:pPr>
        <w:numPr>
          <w:ilvl w:val="0"/>
          <w:numId w:val="46"/>
        </w:numPr>
        <w:spacing w:line="360" w:lineRule="auto"/>
        <w:jc w:val="both"/>
        <w:rPr>
          <w:rFonts w:ascii="Arial" w:hAnsi="Arial" w:cs="Arial"/>
          <w:lang w:val="en-ZA"/>
        </w:rPr>
      </w:pPr>
      <w:r>
        <w:rPr>
          <w:rFonts w:ascii="Arial" w:hAnsi="Arial" w:cs="Arial"/>
          <w:lang w:val="en-ZA"/>
        </w:rPr>
        <w:t>A</w:t>
      </w:r>
      <w:r w:rsidR="00002DEB" w:rsidRPr="00002DEB">
        <w:rPr>
          <w:rFonts w:ascii="Arial" w:hAnsi="Arial" w:cs="Arial"/>
          <w:lang w:val="en-ZA"/>
        </w:rPr>
        <w:t xml:space="preserve"> total of </w:t>
      </w:r>
      <w:r w:rsidR="00842295">
        <w:rPr>
          <w:rFonts w:ascii="Arial" w:hAnsi="Arial" w:cs="Arial"/>
          <w:lang w:val="en-ZA"/>
        </w:rPr>
        <w:t>ninety-one (</w:t>
      </w:r>
      <w:r w:rsidR="00002DEB" w:rsidRPr="00002DEB">
        <w:rPr>
          <w:rFonts w:ascii="Arial" w:hAnsi="Arial" w:cs="Arial"/>
          <w:lang w:val="en-ZA"/>
        </w:rPr>
        <w:t>91</w:t>
      </w:r>
      <w:r w:rsidR="00842295">
        <w:rPr>
          <w:rFonts w:ascii="Arial" w:hAnsi="Arial" w:cs="Arial"/>
          <w:lang w:val="en-ZA"/>
        </w:rPr>
        <w:t>)</w:t>
      </w:r>
      <w:r w:rsidR="00002DEB" w:rsidRPr="00002DEB">
        <w:rPr>
          <w:rFonts w:ascii="Arial" w:hAnsi="Arial" w:cs="Arial"/>
          <w:lang w:val="en-ZA"/>
        </w:rPr>
        <w:t xml:space="preserve"> accused were convicted from the </w:t>
      </w:r>
      <w:r w:rsidR="00842295">
        <w:rPr>
          <w:rFonts w:ascii="Arial" w:hAnsi="Arial" w:cs="Arial"/>
          <w:lang w:val="en-ZA"/>
        </w:rPr>
        <w:t>ninety-nine (</w:t>
      </w:r>
      <w:r w:rsidR="00002DEB" w:rsidRPr="00002DEB">
        <w:rPr>
          <w:rFonts w:ascii="Arial" w:hAnsi="Arial" w:cs="Arial"/>
          <w:lang w:val="en-ZA"/>
        </w:rPr>
        <w:t>99</w:t>
      </w:r>
      <w:r w:rsidR="00842295">
        <w:rPr>
          <w:rFonts w:ascii="Arial" w:hAnsi="Arial" w:cs="Arial"/>
          <w:lang w:val="en-ZA"/>
        </w:rPr>
        <w:t>)</w:t>
      </w:r>
      <w:r w:rsidR="00002DEB" w:rsidRPr="00002DEB">
        <w:rPr>
          <w:rFonts w:ascii="Arial" w:hAnsi="Arial" w:cs="Arial"/>
          <w:lang w:val="en-ZA"/>
        </w:rPr>
        <w:t xml:space="preserve"> accused prosecuted</w:t>
      </w:r>
      <w:r w:rsidR="003E3AB0">
        <w:rPr>
          <w:rFonts w:ascii="Arial" w:hAnsi="Arial" w:cs="Arial"/>
          <w:lang w:val="en-ZA"/>
        </w:rPr>
        <w:t xml:space="preserve"> and </w:t>
      </w:r>
      <w:r w:rsidR="00842295">
        <w:rPr>
          <w:rFonts w:ascii="Arial" w:hAnsi="Arial" w:cs="Arial"/>
          <w:lang w:val="en-ZA"/>
        </w:rPr>
        <w:t>sixty-one (</w:t>
      </w:r>
      <w:r w:rsidR="003E3AB0">
        <w:rPr>
          <w:rFonts w:ascii="Arial" w:hAnsi="Arial" w:cs="Arial"/>
          <w:lang w:val="en-ZA"/>
        </w:rPr>
        <w:t>61</w:t>
      </w:r>
      <w:r w:rsidR="00842295">
        <w:rPr>
          <w:rFonts w:ascii="Arial" w:hAnsi="Arial" w:cs="Arial"/>
          <w:lang w:val="en-ZA"/>
        </w:rPr>
        <w:t>)</w:t>
      </w:r>
      <w:r w:rsidR="003E3AB0">
        <w:rPr>
          <w:rFonts w:ascii="Arial" w:hAnsi="Arial" w:cs="Arial"/>
          <w:lang w:val="en-ZA"/>
        </w:rPr>
        <w:t xml:space="preserve"> of the </w:t>
      </w:r>
      <w:r w:rsidR="00681313">
        <w:rPr>
          <w:rFonts w:ascii="Arial" w:hAnsi="Arial" w:cs="Arial"/>
          <w:lang w:val="en-ZA"/>
        </w:rPr>
        <w:t>sixty-nine (</w:t>
      </w:r>
      <w:r w:rsidR="005C4B86">
        <w:rPr>
          <w:rFonts w:ascii="Arial" w:hAnsi="Arial" w:cs="Arial"/>
          <w:lang w:val="en-ZA"/>
        </w:rPr>
        <w:t>69</w:t>
      </w:r>
      <w:r w:rsidR="00681313">
        <w:rPr>
          <w:rFonts w:ascii="Arial" w:hAnsi="Arial" w:cs="Arial"/>
          <w:lang w:val="en-ZA"/>
        </w:rPr>
        <w:t>)</w:t>
      </w:r>
      <w:r w:rsidR="005C4B86">
        <w:rPr>
          <w:rFonts w:ascii="Arial" w:hAnsi="Arial" w:cs="Arial"/>
          <w:lang w:val="en-ZA"/>
        </w:rPr>
        <w:t xml:space="preserve"> cases resulted in a conviction</w:t>
      </w:r>
      <w:r w:rsidR="00002DEB" w:rsidRPr="00002DEB">
        <w:rPr>
          <w:rFonts w:ascii="Arial" w:hAnsi="Arial" w:cs="Arial"/>
          <w:lang w:val="en-ZA"/>
        </w:rPr>
        <w:t xml:space="preserve">. </w:t>
      </w:r>
      <w:r w:rsidR="005C4B86">
        <w:rPr>
          <w:rFonts w:ascii="Arial" w:hAnsi="Arial" w:cs="Arial"/>
          <w:lang w:val="en-ZA"/>
        </w:rPr>
        <w:t>This translates to:</w:t>
      </w:r>
    </w:p>
    <w:p w:rsidR="003A7CC2" w:rsidRDefault="003A7CC2" w:rsidP="007843AB">
      <w:pPr>
        <w:numPr>
          <w:ilvl w:val="1"/>
          <w:numId w:val="43"/>
        </w:numPr>
        <w:spacing w:line="360" w:lineRule="auto"/>
        <w:jc w:val="both"/>
        <w:rPr>
          <w:rFonts w:ascii="Arial" w:hAnsi="Arial" w:cs="Arial"/>
          <w:lang w:val="en-ZA"/>
        </w:rPr>
      </w:pPr>
      <w:r>
        <w:rPr>
          <w:rFonts w:ascii="Arial" w:hAnsi="Arial" w:cs="Arial"/>
          <w:lang w:val="en-ZA"/>
        </w:rPr>
        <w:t xml:space="preserve">92% conviction rate on </w:t>
      </w:r>
      <w:r w:rsidR="00002DEB" w:rsidRPr="003A7CC2">
        <w:rPr>
          <w:rFonts w:ascii="Arial" w:hAnsi="Arial" w:cs="Arial"/>
          <w:lang w:val="en-ZA"/>
        </w:rPr>
        <w:t>persons convicted</w:t>
      </w:r>
    </w:p>
    <w:p w:rsidR="00451489" w:rsidRDefault="00002DEB" w:rsidP="007843AB">
      <w:pPr>
        <w:numPr>
          <w:ilvl w:val="1"/>
          <w:numId w:val="43"/>
        </w:numPr>
        <w:spacing w:line="360" w:lineRule="auto"/>
        <w:jc w:val="both"/>
        <w:rPr>
          <w:rFonts w:ascii="Arial" w:hAnsi="Arial" w:cs="Arial"/>
          <w:lang w:val="en-ZA"/>
        </w:rPr>
      </w:pPr>
      <w:r w:rsidRPr="003A7CC2">
        <w:rPr>
          <w:rFonts w:ascii="Arial" w:hAnsi="Arial" w:cs="Arial"/>
          <w:lang w:val="en-ZA"/>
        </w:rPr>
        <w:t>88% conviction rate</w:t>
      </w:r>
      <w:r w:rsidR="00B6199A">
        <w:rPr>
          <w:rFonts w:ascii="Arial" w:hAnsi="Arial" w:cs="Arial"/>
          <w:lang w:val="en-ZA"/>
        </w:rPr>
        <w:t xml:space="preserve"> on</w:t>
      </w:r>
      <w:r w:rsidR="00451489">
        <w:rPr>
          <w:rFonts w:ascii="Arial" w:hAnsi="Arial" w:cs="Arial"/>
          <w:lang w:val="en-ZA"/>
        </w:rPr>
        <w:t xml:space="preserve"> number of cases prosecuted</w:t>
      </w:r>
      <w:r w:rsidRPr="003A7CC2">
        <w:rPr>
          <w:rFonts w:ascii="Arial" w:hAnsi="Arial" w:cs="Arial"/>
          <w:lang w:val="en-ZA"/>
        </w:rPr>
        <w:t xml:space="preserve">. </w:t>
      </w:r>
    </w:p>
    <w:p w:rsidR="007843AB" w:rsidRDefault="007843AB" w:rsidP="007843AB">
      <w:pPr>
        <w:spacing w:line="360" w:lineRule="auto"/>
        <w:jc w:val="both"/>
        <w:rPr>
          <w:rFonts w:ascii="Arial" w:hAnsi="Arial" w:cs="Arial"/>
          <w:lang w:val="en-ZA"/>
        </w:rPr>
      </w:pPr>
    </w:p>
    <w:p w:rsidR="00CE6222" w:rsidRDefault="00002DEB" w:rsidP="007843AB">
      <w:pPr>
        <w:spacing w:line="360" w:lineRule="auto"/>
        <w:jc w:val="both"/>
        <w:rPr>
          <w:rFonts w:ascii="Arial" w:hAnsi="Arial" w:cs="Arial"/>
          <w:lang w:val="en-ZA"/>
        </w:rPr>
      </w:pPr>
      <w:r w:rsidRPr="003A7CC2">
        <w:rPr>
          <w:rFonts w:ascii="Arial" w:hAnsi="Arial" w:cs="Arial"/>
          <w:lang w:val="en-ZA"/>
        </w:rPr>
        <w:t xml:space="preserve">The conviction rates are only measured against the cases and/or </w:t>
      </w:r>
      <w:r w:rsidR="001D348D">
        <w:rPr>
          <w:rFonts w:ascii="Arial" w:hAnsi="Arial" w:cs="Arial"/>
          <w:lang w:val="en-ZA"/>
        </w:rPr>
        <w:t xml:space="preserve">the </w:t>
      </w:r>
      <w:r w:rsidRPr="003A7CC2">
        <w:rPr>
          <w:rFonts w:ascii="Arial" w:hAnsi="Arial" w:cs="Arial"/>
          <w:lang w:val="en-ZA"/>
        </w:rPr>
        <w:t>accused prosecuted</w:t>
      </w:r>
      <w:r w:rsidR="00CE6222">
        <w:rPr>
          <w:rFonts w:ascii="Arial" w:hAnsi="Arial" w:cs="Arial"/>
          <w:lang w:val="en-ZA"/>
        </w:rPr>
        <w:t>,</w:t>
      </w:r>
      <w:r w:rsidRPr="003A7CC2">
        <w:rPr>
          <w:rFonts w:ascii="Arial" w:hAnsi="Arial" w:cs="Arial"/>
          <w:lang w:val="en-ZA"/>
        </w:rPr>
        <w:t xml:space="preserve"> as various matters may not be prosecuted for reasons outside the control of the investigating authorities and the prosecution authority. </w:t>
      </w:r>
    </w:p>
    <w:p w:rsidR="003E3AB0" w:rsidRDefault="003E3AB0" w:rsidP="007843AB">
      <w:pPr>
        <w:spacing w:line="360" w:lineRule="auto"/>
        <w:jc w:val="both"/>
        <w:rPr>
          <w:rFonts w:ascii="Arial" w:hAnsi="Arial" w:cs="Arial"/>
          <w:lang w:val="en-ZA"/>
        </w:rPr>
      </w:pPr>
    </w:p>
    <w:p w:rsidR="00002DEB" w:rsidRDefault="00002DEB" w:rsidP="007843AB">
      <w:pPr>
        <w:spacing w:line="360" w:lineRule="auto"/>
        <w:jc w:val="both"/>
        <w:rPr>
          <w:rFonts w:ascii="Arial" w:hAnsi="Arial" w:cs="Arial"/>
          <w:lang w:val="en-ZA"/>
        </w:rPr>
      </w:pPr>
      <w:r w:rsidRPr="003A7CC2">
        <w:rPr>
          <w:rFonts w:ascii="Arial" w:hAnsi="Arial" w:cs="Arial"/>
          <w:lang w:val="en-ZA"/>
        </w:rPr>
        <w:t xml:space="preserve">The aim is not to see how many convictions may be achieved, but to ensure that </w:t>
      </w:r>
      <w:r w:rsidR="00CE6222">
        <w:rPr>
          <w:rFonts w:ascii="Arial" w:hAnsi="Arial" w:cs="Arial"/>
          <w:lang w:val="en-ZA"/>
        </w:rPr>
        <w:t>j</w:t>
      </w:r>
      <w:r w:rsidRPr="003A7CC2">
        <w:rPr>
          <w:rFonts w:ascii="Arial" w:hAnsi="Arial" w:cs="Arial"/>
          <w:lang w:val="en-ZA"/>
        </w:rPr>
        <w:t>ustice is done</w:t>
      </w:r>
      <w:r w:rsidR="00CE6222">
        <w:rPr>
          <w:rFonts w:ascii="Arial" w:hAnsi="Arial" w:cs="Arial"/>
          <w:lang w:val="en-ZA"/>
        </w:rPr>
        <w:t>,</w:t>
      </w:r>
      <w:r w:rsidRPr="003A7CC2">
        <w:rPr>
          <w:rFonts w:ascii="Arial" w:hAnsi="Arial" w:cs="Arial"/>
          <w:lang w:val="en-ZA"/>
        </w:rPr>
        <w:t xml:space="preserve"> and also seen to be done</w:t>
      </w:r>
      <w:r w:rsidR="00CE6222">
        <w:rPr>
          <w:rFonts w:ascii="Arial" w:hAnsi="Arial" w:cs="Arial"/>
          <w:lang w:val="en-ZA"/>
        </w:rPr>
        <w:t>,</w:t>
      </w:r>
      <w:r w:rsidRPr="003A7CC2">
        <w:rPr>
          <w:rFonts w:ascii="Arial" w:hAnsi="Arial" w:cs="Arial"/>
          <w:lang w:val="en-ZA"/>
        </w:rPr>
        <w:t xml:space="preserve"> in all matters. It is therefore important to understand that after thorough investigations, </w:t>
      </w:r>
      <w:r w:rsidR="00CE6222">
        <w:rPr>
          <w:rFonts w:ascii="Arial" w:hAnsi="Arial" w:cs="Arial"/>
          <w:lang w:val="en-ZA"/>
        </w:rPr>
        <w:t xml:space="preserve">there may not be sufficient </w:t>
      </w:r>
      <w:r w:rsidRPr="003A7CC2">
        <w:rPr>
          <w:rFonts w:ascii="Arial" w:hAnsi="Arial" w:cs="Arial"/>
          <w:lang w:val="en-ZA"/>
        </w:rPr>
        <w:t>evidence to institute prosecution or for other reasons, such as the unavailability of witnesses or accused</w:t>
      </w:r>
      <w:r w:rsidR="00CE6222">
        <w:rPr>
          <w:rFonts w:ascii="Arial" w:hAnsi="Arial" w:cs="Arial"/>
          <w:lang w:val="en-ZA"/>
        </w:rPr>
        <w:t xml:space="preserve">. </w:t>
      </w:r>
    </w:p>
    <w:p w:rsidR="007D7BFD" w:rsidRPr="007D7BFD" w:rsidRDefault="007D7BFD" w:rsidP="007843AB">
      <w:pPr>
        <w:spacing w:line="360" w:lineRule="auto"/>
        <w:jc w:val="both"/>
        <w:rPr>
          <w:rFonts w:ascii="Arial" w:hAnsi="Arial" w:cs="Arial"/>
          <w:b/>
          <w:lang w:val="en-ZA"/>
        </w:rPr>
      </w:pPr>
      <w:r w:rsidRPr="007D7BFD">
        <w:rPr>
          <w:rFonts w:ascii="Arial" w:hAnsi="Arial" w:cs="Arial"/>
          <w:b/>
          <w:lang w:val="en-ZA"/>
        </w:rPr>
        <w:t xml:space="preserve">END </w:t>
      </w:r>
    </w:p>
    <w:p w:rsidR="003E3AB0" w:rsidRDefault="003E3AB0" w:rsidP="007843AB">
      <w:pPr>
        <w:spacing w:line="360" w:lineRule="auto"/>
        <w:jc w:val="both"/>
        <w:rPr>
          <w:rFonts w:ascii="Arial" w:hAnsi="Arial" w:cs="Arial"/>
          <w:lang w:val="en-ZA"/>
        </w:rPr>
      </w:pPr>
    </w:p>
    <w:p w:rsidR="00983C6B" w:rsidRPr="00FE64CB" w:rsidRDefault="00983C6B" w:rsidP="007843AB">
      <w:pPr>
        <w:spacing w:line="360" w:lineRule="auto"/>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A6" w:rsidRDefault="009567A6" w:rsidP="00913892">
      <w:r>
        <w:separator/>
      </w:r>
    </w:p>
  </w:endnote>
  <w:endnote w:type="continuationSeparator" w:id="0">
    <w:p w:rsidR="009567A6" w:rsidRDefault="009567A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567A6" w:rsidRPr="009567A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A6" w:rsidRDefault="009567A6" w:rsidP="00913892">
      <w:r>
        <w:separator/>
      </w:r>
    </w:p>
  </w:footnote>
  <w:footnote w:type="continuationSeparator" w:id="0">
    <w:p w:rsidR="009567A6" w:rsidRDefault="009567A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35542C"/>
    <w:multiLevelType w:val="hybridMultilevel"/>
    <w:tmpl w:val="CFF4696A"/>
    <w:lvl w:ilvl="0" w:tplc="0409000F">
      <w:start w:val="1"/>
      <w:numFmt w:val="decimal"/>
      <w:lvlText w:val="%1."/>
      <w:lvlJc w:val="left"/>
      <w:pPr>
        <w:ind w:left="790" w:hanging="360"/>
      </w:p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660B6B"/>
    <w:multiLevelType w:val="hybridMultilevel"/>
    <w:tmpl w:val="C3B6AFFC"/>
    <w:lvl w:ilvl="0" w:tplc="EF7E7E3C">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B2B1BDD"/>
    <w:multiLevelType w:val="hybridMultilevel"/>
    <w:tmpl w:val="7840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56FF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5B322D"/>
    <w:multiLevelType w:val="hybridMultilevel"/>
    <w:tmpl w:val="884C4040"/>
    <w:lvl w:ilvl="0" w:tplc="1D0A7C42">
      <w:start w:val="1"/>
      <w:numFmt w:val="lowerLetter"/>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9620EA"/>
    <w:multiLevelType w:val="hybridMultilevel"/>
    <w:tmpl w:val="7840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56FF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5"/>
  </w:num>
  <w:num w:numId="6">
    <w:abstractNumId w:val="3"/>
  </w:num>
  <w:num w:numId="7">
    <w:abstractNumId w:val="44"/>
  </w:num>
  <w:num w:numId="8">
    <w:abstractNumId w:val="11"/>
  </w:num>
  <w:num w:numId="9">
    <w:abstractNumId w:val="18"/>
  </w:num>
  <w:num w:numId="10">
    <w:abstractNumId w:val="36"/>
  </w:num>
  <w:num w:numId="11">
    <w:abstractNumId w:val="2"/>
  </w:num>
  <w:num w:numId="12">
    <w:abstractNumId w:val="24"/>
  </w:num>
  <w:num w:numId="13">
    <w:abstractNumId w:val="15"/>
  </w:num>
  <w:num w:numId="14">
    <w:abstractNumId w:val="20"/>
  </w:num>
  <w:num w:numId="15">
    <w:abstractNumId w:val="10"/>
  </w:num>
  <w:num w:numId="16">
    <w:abstractNumId w:val="17"/>
  </w:num>
  <w:num w:numId="17">
    <w:abstractNumId w:val="41"/>
  </w:num>
  <w:num w:numId="18">
    <w:abstractNumId w:val="26"/>
  </w:num>
  <w:num w:numId="19">
    <w:abstractNumId w:val="23"/>
  </w:num>
  <w:num w:numId="20">
    <w:abstractNumId w:val="40"/>
  </w:num>
  <w:num w:numId="21">
    <w:abstractNumId w:val="32"/>
  </w:num>
  <w:num w:numId="22">
    <w:abstractNumId w:val="33"/>
  </w:num>
  <w:num w:numId="23">
    <w:abstractNumId w:val="8"/>
  </w:num>
  <w:num w:numId="24">
    <w:abstractNumId w:val="34"/>
  </w:num>
  <w:num w:numId="25">
    <w:abstractNumId w:val="5"/>
  </w:num>
  <w:num w:numId="26">
    <w:abstractNumId w:val="7"/>
  </w:num>
  <w:num w:numId="27">
    <w:abstractNumId w:val="30"/>
  </w:num>
  <w:num w:numId="28">
    <w:abstractNumId w:val="42"/>
  </w:num>
  <w:num w:numId="29">
    <w:abstractNumId w:val="6"/>
  </w:num>
  <w:num w:numId="30">
    <w:abstractNumId w:val="12"/>
  </w:num>
  <w:num w:numId="31">
    <w:abstractNumId w:val="1"/>
  </w:num>
  <w:num w:numId="32">
    <w:abstractNumId w:val="13"/>
  </w:num>
  <w:num w:numId="33">
    <w:abstractNumId w:val="22"/>
  </w:num>
  <w:num w:numId="34">
    <w:abstractNumId w:val="38"/>
  </w:num>
  <w:num w:numId="35">
    <w:abstractNumId w:val="45"/>
  </w:num>
  <w:num w:numId="36">
    <w:abstractNumId w:val="29"/>
  </w:num>
  <w:num w:numId="37">
    <w:abstractNumId w:val="16"/>
  </w:num>
  <w:num w:numId="38">
    <w:abstractNumId w:val="21"/>
  </w:num>
  <w:num w:numId="39">
    <w:abstractNumId w:val="9"/>
  </w:num>
  <w:num w:numId="40">
    <w:abstractNumId w:val="19"/>
  </w:num>
  <w:num w:numId="41">
    <w:abstractNumId w:val="31"/>
  </w:num>
  <w:num w:numId="42">
    <w:abstractNumId w:val="43"/>
  </w:num>
  <w:num w:numId="43">
    <w:abstractNumId w:val="25"/>
  </w:num>
  <w:num w:numId="44">
    <w:abstractNumId w:val="27"/>
  </w:num>
  <w:num w:numId="45">
    <w:abstractNumId w:val="39"/>
  </w:num>
  <w:num w:numId="46">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2DEB"/>
    <w:rsid w:val="00017971"/>
    <w:rsid w:val="00026EC0"/>
    <w:rsid w:val="00030927"/>
    <w:rsid w:val="0004105D"/>
    <w:rsid w:val="0004190C"/>
    <w:rsid w:val="00046588"/>
    <w:rsid w:val="00052CE2"/>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7373"/>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D2E53"/>
    <w:rsid w:val="001D348D"/>
    <w:rsid w:val="001D4F07"/>
    <w:rsid w:val="001E1BE7"/>
    <w:rsid w:val="001F41F3"/>
    <w:rsid w:val="001F445E"/>
    <w:rsid w:val="00203F6A"/>
    <w:rsid w:val="00213182"/>
    <w:rsid w:val="0021549B"/>
    <w:rsid w:val="002269FD"/>
    <w:rsid w:val="00262ACE"/>
    <w:rsid w:val="00263360"/>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77DA7"/>
    <w:rsid w:val="00381B64"/>
    <w:rsid w:val="00383858"/>
    <w:rsid w:val="00386CA6"/>
    <w:rsid w:val="003A64C5"/>
    <w:rsid w:val="003A6AD0"/>
    <w:rsid w:val="003A7CC2"/>
    <w:rsid w:val="003B0260"/>
    <w:rsid w:val="003C43F4"/>
    <w:rsid w:val="003C4D22"/>
    <w:rsid w:val="003C5B62"/>
    <w:rsid w:val="003D526D"/>
    <w:rsid w:val="003D780B"/>
    <w:rsid w:val="003E0CEE"/>
    <w:rsid w:val="003E3AB0"/>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1489"/>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7418"/>
    <w:rsid w:val="005951E0"/>
    <w:rsid w:val="005A2F69"/>
    <w:rsid w:val="005A42CF"/>
    <w:rsid w:val="005B6209"/>
    <w:rsid w:val="005C4B86"/>
    <w:rsid w:val="005D1EEF"/>
    <w:rsid w:val="005E365A"/>
    <w:rsid w:val="005E6608"/>
    <w:rsid w:val="00611D96"/>
    <w:rsid w:val="00612214"/>
    <w:rsid w:val="00625CD7"/>
    <w:rsid w:val="00630932"/>
    <w:rsid w:val="00653FE5"/>
    <w:rsid w:val="00661BE2"/>
    <w:rsid w:val="00670788"/>
    <w:rsid w:val="0067545A"/>
    <w:rsid w:val="00681313"/>
    <w:rsid w:val="006959E4"/>
    <w:rsid w:val="006B0F80"/>
    <w:rsid w:val="006C0567"/>
    <w:rsid w:val="006D21F9"/>
    <w:rsid w:val="006D7E71"/>
    <w:rsid w:val="006F2454"/>
    <w:rsid w:val="006F63D7"/>
    <w:rsid w:val="00720D4C"/>
    <w:rsid w:val="00724689"/>
    <w:rsid w:val="007261FA"/>
    <w:rsid w:val="0073526D"/>
    <w:rsid w:val="00740A5A"/>
    <w:rsid w:val="00744F01"/>
    <w:rsid w:val="00745638"/>
    <w:rsid w:val="007540CF"/>
    <w:rsid w:val="00755C22"/>
    <w:rsid w:val="00757E02"/>
    <w:rsid w:val="00760BFE"/>
    <w:rsid w:val="00765301"/>
    <w:rsid w:val="0076714F"/>
    <w:rsid w:val="00774F8F"/>
    <w:rsid w:val="00777A77"/>
    <w:rsid w:val="0078425B"/>
    <w:rsid w:val="007843AB"/>
    <w:rsid w:val="00791471"/>
    <w:rsid w:val="007961D4"/>
    <w:rsid w:val="007B7829"/>
    <w:rsid w:val="007C0AC3"/>
    <w:rsid w:val="007C1863"/>
    <w:rsid w:val="007D7BFD"/>
    <w:rsid w:val="007E6925"/>
    <w:rsid w:val="007E7201"/>
    <w:rsid w:val="007F2B0B"/>
    <w:rsid w:val="007F3217"/>
    <w:rsid w:val="008169B8"/>
    <w:rsid w:val="00842295"/>
    <w:rsid w:val="00846897"/>
    <w:rsid w:val="00860D16"/>
    <w:rsid w:val="00865132"/>
    <w:rsid w:val="008769EF"/>
    <w:rsid w:val="00881381"/>
    <w:rsid w:val="00892846"/>
    <w:rsid w:val="0089703D"/>
    <w:rsid w:val="008A1398"/>
    <w:rsid w:val="008A1837"/>
    <w:rsid w:val="008B1BCF"/>
    <w:rsid w:val="008B4CD4"/>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4630F"/>
    <w:rsid w:val="009541F2"/>
    <w:rsid w:val="009551F2"/>
    <w:rsid w:val="009567A6"/>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C59A9"/>
    <w:rsid w:val="00AD7B7A"/>
    <w:rsid w:val="00AF0F1A"/>
    <w:rsid w:val="00AF5D91"/>
    <w:rsid w:val="00B021CE"/>
    <w:rsid w:val="00B13369"/>
    <w:rsid w:val="00B170EA"/>
    <w:rsid w:val="00B26AB3"/>
    <w:rsid w:val="00B40A2F"/>
    <w:rsid w:val="00B46E62"/>
    <w:rsid w:val="00B553A6"/>
    <w:rsid w:val="00B6199A"/>
    <w:rsid w:val="00B64095"/>
    <w:rsid w:val="00B8345D"/>
    <w:rsid w:val="00B958BA"/>
    <w:rsid w:val="00BA3361"/>
    <w:rsid w:val="00BA3A67"/>
    <w:rsid w:val="00BA61AF"/>
    <w:rsid w:val="00BB53A8"/>
    <w:rsid w:val="00BB7991"/>
    <w:rsid w:val="00BC1021"/>
    <w:rsid w:val="00BC2DC7"/>
    <w:rsid w:val="00BC7AFB"/>
    <w:rsid w:val="00BD597B"/>
    <w:rsid w:val="00BD6D36"/>
    <w:rsid w:val="00BF0672"/>
    <w:rsid w:val="00BF0809"/>
    <w:rsid w:val="00BF738D"/>
    <w:rsid w:val="00C15423"/>
    <w:rsid w:val="00C31057"/>
    <w:rsid w:val="00C331B7"/>
    <w:rsid w:val="00C360AA"/>
    <w:rsid w:val="00C3772F"/>
    <w:rsid w:val="00C41A50"/>
    <w:rsid w:val="00C70C10"/>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22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A62A1"/>
    <w:rsid w:val="00DB11B2"/>
    <w:rsid w:val="00DC255C"/>
    <w:rsid w:val="00DC592F"/>
    <w:rsid w:val="00DC6E94"/>
    <w:rsid w:val="00DC7CDA"/>
    <w:rsid w:val="00DE1284"/>
    <w:rsid w:val="00DF2638"/>
    <w:rsid w:val="00E1080E"/>
    <w:rsid w:val="00E17F42"/>
    <w:rsid w:val="00E207C7"/>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EF5F08"/>
    <w:rsid w:val="00F061D6"/>
    <w:rsid w:val="00F20EAD"/>
    <w:rsid w:val="00F220CD"/>
    <w:rsid w:val="00F26B86"/>
    <w:rsid w:val="00F31805"/>
    <w:rsid w:val="00F3487E"/>
    <w:rsid w:val="00F36003"/>
    <w:rsid w:val="00F400F2"/>
    <w:rsid w:val="00F475A6"/>
    <w:rsid w:val="00F5419D"/>
    <w:rsid w:val="00F55893"/>
    <w:rsid w:val="00F63F57"/>
    <w:rsid w:val="00F646C9"/>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2022-03-10T10:04:00Z</cp:lastPrinted>
  <dcterms:created xsi:type="dcterms:W3CDTF">2022-04-01T13:19:00Z</dcterms:created>
  <dcterms:modified xsi:type="dcterms:W3CDTF">2022-04-01T13:19:00Z</dcterms:modified>
</cp:coreProperties>
</file>