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Pr="00B73D56" w:rsidRDefault="006A0B3C" w:rsidP="006A0B3C">
      <w:pPr>
        <w:jc w:val="center"/>
        <w:rPr>
          <w:rFonts w:ascii="Arial" w:hAnsi="Arial" w:cs="Arial"/>
          <w:color w:val="000000" w:themeColor="text1"/>
          <w:lang w:val="en-US"/>
        </w:rPr>
      </w:pPr>
      <w:bookmarkStart w:id="0" w:name="_GoBack"/>
      <w:bookmarkEnd w:id="0"/>
      <w:r w:rsidRPr="00B73D56">
        <w:rPr>
          <w:noProof/>
          <w:color w:val="000000" w:themeColor="text1"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Pr="00B73D56" w:rsidRDefault="006A0B3C" w:rsidP="006A0B3C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B73D56">
        <w:rPr>
          <w:rFonts w:ascii="Arial" w:hAnsi="Arial" w:cs="Arial"/>
          <w:b/>
          <w:color w:val="000000" w:themeColor="text1"/>
          <w:lang w:val="en-US"/>
        </w:rPr>
        <w:t>MINISTRY</w:t>
      </w:r>
    </w:p>
    <w:p w:rsidR="006A0B3C" w:rsidRPr="00B73D56" w:rsidRDefault="006A0B3C" w:rsidP="006A0B3C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B73D56">
        <w:rPr>
          <w:rFonts w:ascii="Arial" w:hAnsi="Arial" w:cs="Arial"/>
          <w:b/>
          <w:color w:val="000000" w:themeColor="text1"/>
          <w:lang w:val="en-US"/>
        </w:rPr>
        <w:t>MINERAL RESOURCES AND ENERGY</w:t>
      </w:r>
    </w:p>
    <w:p w:rsidR="006A0B3C" w:rsidRPr="00B73D56" w:rsidRDefault="006A0B3C" w:rsidP="006A0B3C">
      <w:pPr>
        <w:spacing w:line="276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B73D56">
        <w:rPr>
          <w:rFonts w:ascii="Arial" w:hAnsi="Arial" w:cs="Arial"/>
          <w:b/>
          <w:color w:val="000000" w:themeColor="text1"/>
          <w:lang w:val="en-US"/>
        </w:rPr>
        <w:t>REPUBLIC OF SOUTH AFRICA</w:t>
      </w:r>
    </w:p>
    <w:p w:rsidR="006A0B3C" w:rsidRPr="00B73D56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color w:val="000000" w:themeColor="text1"/>
          <w:sz w:val="12"/>
          <w:szCs w:val="12"/>
          <w:lang w:val="en-US"/>
        </w:rPr>
      </w:pPr>
      <w:r w:rsidRPr="00B73D56">
        <w:rPr>
          <w:rFonts w:ascii="Arial" w:hAnsi="Arial" w:cs="Arial"/>
          <w:b/>
          <w:color w:val="000000" w:themeColor="text1"/>
          <w:sz w:val="12"/>
          <w:szCs w:val="12"/>
          <w:lang w:val="en-US"/>
        </w:rPr>
        <w:t xml:space="preserve">Private Bag X 59, Arcadia, 0007, </w:t>
      </w:r>
      <w:proofErr w:type="spellStart"/>
      <w:r w:rsidRPr="00B73D56">
        <w:rPr>
          <w:rFonts w:ascii="Arial" w:hAnsi="Arial" w:cs="Arial"/>
          <w:b/>
          <w:color w:val="000000" w:themeColor="text1"/>
          <w:sz w:val="12"/>
          <w:szCs w:val="12"/>
          <w:lang w:val="en-US"/>
        </w:rPr>
        <w:t>Trevenna</w:t>
      </w:r>
      <w:proofErr w:type="spellEnd"/>
      <w:r w:rsidRPr="00B73D56">
        <w:rPr>
          <w:rFonts w:ascii="Arial" w:hAnsi="Arial" w:cs="Arial"/>
          <w:b/>
          <w:color w:val="000000" w:themeColor="text1"/>
          <w:sz w:val="12"/>
          <w:szCs w:val="12"/>
          <w:lang w:val="en-US"/>
        </w:rPr>
        <w:t xml:space="preserve"> Campus, Building 2C, C/o </w:t>
      </w:r>
      <w:proofErr w:type="spellStart"/>
      <w:r w:rsidRPr="00B73D56">
        <w:rPr>
          <w:rFonts w:ascii="Arial" w:hAnsi="Arial" w:cs="Arial"/>
          <w:b/>
          <w:color w:val="000000" w:themeColor="text1"/>
          <w:sz w:val="12"/>
          <w:szCs w:val="12"/>
          <w:lang w:val="en-US"/>
        </w:rPr>
        <w:t>Meintjes</w:t>
      </w:r>
      <w:proofErr w:type="spellEnd"/>
      <w:r w:rsidRPr="00B73D56">
        <w:rPr>
          <w:rFonts w:ascii="Arial" w:hAnsi="Arial" w:cs="Arial"/>
          <w:b/>
          <w:color w:val="000000" w:themeColor="text1"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Pr="00B73D56" w:rsidRDefault="006A0B3C" w:rsidP="006A0B3C">
      <w:pPr>
        <w:spacing w:line="360" w:lineRule="auto"/>
        <w:jc w:val="center"/>
        <w:rPr>
          <w:rFonts w:ascii="Arial" w:hAnsi="Arial" w:cs="Arial"/>
          <w:color w:val="000000" w:themeColor="text1"/>
          <w:sz w:val="12"/>
          <w:szCs w:val="12"/>
          <w:lang w:val="en-US"/>
        </w:rPr>
      </w:pPr>
      <w:r w:rsidRPr="00B73D56">
        <w:rPr>
          <w:rFonts w:ascii="Arial" w:hAnsi="Arial" w:cs="Arial"/>
          <w:color w:val="000000" w:themeColor="text1"/>
          <w:sz w:val="12"/>
          <w:szCs w:val="12"/>
          <w:lang w:val="en-US"/>
        </w:rPr>
        <w:t>Private Bag X9111 Cape Town 8000, 7</w:t>
      </w:r>
      <w:r w:rsidRPr="00B73D56">
        <w:rPr>
          <w:rFonts w:ascii="Arial" w:hAnsi="Arial" w:cs="Arial"/>
          <w:color w:val="000000" w:themeColor="text1"/>
          <w:sz w:val="12"/>
          <w:szCs w:val="12"/>
          <w:vertAlign w:val="superscript"/>
          <w:lang w:val="en-US"/>
        </w:rPr>
        <w:t>th</w:t>
      </w:r>
      <w:r w:rsidRPr="00B73D56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Floor, 120 </w:t>
      </w:r>
      <w:proofErr w:type="spellStart"/>
      <w:r w:rsidRPr="00B73D56">
        <w:rPr>
          <w:rFonts w:ascii="Arial" w:hAnsi="Arial" w:cs="Arial"/>
          <w:color w:val="000000" w:themeColor="text1"/>
          <w:sz w:val="12"/>
          <w:szCs w:val="12"/>
          <w:lang w:val="en-US"/>
        </w:rPr>
        <w:t>Plein</w:t>
      </w:r>
      <w:proofErr w:type="spellEnd"/>
      <w:r w:rsidRPr="00B73D56">
        <w:rPr>
          <w:rFonts w:ascii="Arial" w:hAnsi="Arial" w:cs="Arial"/>
          <w:color w:val="000000" w:themeColor="text1"/>
          <w:sz w:val="12"/>
          <w:szCs w:val="12"/>
          <w:lang w:val="en-US"/>
        </w:rPr>
        <w:t xml:space="preserve"> Street Cape Town, Tel: +27 21 469 6425, Fax: +27 21 465 5980</w:t>
      </w:r>
    </w:p>
    <w:p w:rsidR="00181DFA" w:rsidRPr="00B73D56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  <w:r w:rsidRPr="00B73D56">
        <w:rPr>
          <w:rFonts w:cs="Tunga"/>
          <w:b/>
          <w:color w:val="000000" w:themeColor="text1"/>
          <w:szCs w:val="24"/>
          <w:lang w:val="en-ZA"/>
        </w:rPr>
        <w:tab/>
      </w:r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Memorandum from the Parliamentary Office</w:t>
      </w:r>
    </w:p>
    <w:p w:rsidR="00181DFA" w:rsidRPr="00B73D56" w:rsidRDefault="00181DFA" w:rsidP="00181DFA">
      <w:pPr>
        <w:spacing w:line="360" w:lineRule="auto"/>
        <w:rPr>
          <w:rFonts w:ascii="Arial Narrow" w:hAnsi="Arial Narrow" w:cs="Tunga"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 xml:space="preserve">National </w:t>
      </w:r>
      <w:r w:rsidR="00D44900"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Assembly</w:t>
      </w:r>
      <w:r w:rsidR="00A67F74"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:</w:t>
      </w:r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 xml:space="preserve"> </w:t>
      </w:r>
      <w:r w:rsidR="009B5508"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66</w:t>
      </w:r>
    </w:p>
    <w:p w:rsidR="00181DFA" w:rsidRPr="00B73D56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hAnsi="Arial Narrow" w:cs="Arial"/>
          <w:color w:val="000000" w:themeColor="text1"/>
          <w:sz w:val="24"/>
          <w:szCs w:val="24"/>
        </w:rPr>
        <w:t>Please find attached a response to Parliamentary Question</w:t>
      </w:r>
      <w:r w:rsidRPr="00B73D56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B73D56">
        <w:rPr>
          <w:rFonts w:ascii="Arial Narrow" w:hAnsi="Arial Narrow"/>
          <w:color w:val="000000" w:themeColor="text1"/>
          <w:sz w:val="24"/>
          <w:szCs w:val="24"/>
        </w:rPr>
        <w:t>for</w:t>
      </w:r>
      <w:r w:rsidRPr="00B73D56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B73D56">
        <w:rPr>
          <w:rFonts w:ascii="Arial Narrow" w:hAnsi="Arial Narrow" w:cs="Arial"/>
          <w:b/>
          <w:color w:val="000000" w:themeColor="text1"/>
          <w:sz w:val="24"/>
          <w:szCs w:val="24"/>
        </w:rPr>
        <w:t>written reply</w:t>
      </w:r>
      <w:r w:rsidRPr="00B73D56">
        <w:rPr>
          <w:rFonts w:ascii="Arial Narrow" w:hAnsi="Arial Narrow" w:cs="Arial"/>
          <w:color w:val="000000" w:themeColor="text1"/>
          <w:sz w:val="24"/>
          <w:szCs w:val="24"/>
        </w:rPr>
        <w:t xml:space="preserve"> asked </w:t>
      </w:r>
      <w:r w:rsidR="00D84511" w:rsidRPr="00B73D56">
        <w:rPr>
          <w:rFonts w:ascii="Arial Narrow" w:hAnsi="Arial Narrow" w:cs="Arial"/>
          <w:color w:val="000000" w:themeColor="text1"/>
          <w:sz w:val="24"/>
          <w:szCs w:val="24"/>
        </w:rPr>
        <w:t xml:space="preserve">by </w:t>
      </w:r>
      <w:r w:rsidR="009B5508"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Mr K J </w:t>
      </w:r>
      <w:proofErr w:type="spellStart"/>
      <w:r w:rsidR="009B5508"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Mileham</w:t>
      </w:r>
      <w:proofErr w:type="spellEnd"/>
      <w:r w:rsidR="009B5508"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 (</w:t>
      </w:r>
      <w:r w:rsidR="001659BA"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DA) to</w:t>
      </w:r>
      <w:r w:rsidR="00D84511" w:rsidRPr="00B73D56">
        <w:rPr>
          <w:rFonts w:ascii="Arial Narrow" w:hAnsi="Arial Narrow"/>
          <w:b/>
          <w:color w:val="000000" w:themeColor="text1"/>
          <w:sz w:val="24"/>
          <w:szCs w:val="24"/>
        </w:rPr>
        <w:t xml:space="preserve"> the Minister of Mineral Resources and Energy</w:t>
      </w:r>
      <w:r w:rsidRPr="00B73D56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: </w:t>
      </w:r>
    </w:p>
    <w:p w:rsidR="00181DFA" w:rsidRPr="00B73D56" w:rsidRDefault="00181DFA" w:rsidP="00181DF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2204A5" w:rsidRPr="00B73D56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</w:pPr>
    </w:p>
    <w:p w:rsidR="00CB7087" w:rsidRPr="00B73D56" w:rsidRDefault="00CB7087" w:rsidP="00CB7087">
      <w:pPr>
        <w:spacing w:after="0" w:line="276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</w:p>
    <w:p w:rsidR="008E4132" w:rsidRPr="00B73D56" w:rsidRDefault="008E4132" w:rsidP="00CB7087">
      <w:pPr>
        <w:spacing w:after="0" w:line="276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</w:p>
    <w:p w:rsidR="00D44900" w:rsidRPr="00B73D56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</w:pPr>
      <w:bookmarkStart w:id="1" w:name="_Hlk118108848"/>
      <w:r w:rsidRPr="00B73D56"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  <w:t>M</w:t>
      </w:r>
      <w:r w:rsidR="009B5508" w:rsidRPr="00B73D56"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  <w:t xml:space="preserve">s Hilda </w:t>
      </w:r>
      <w:proofErr w:type="spellStart"/>
      <w:r w:rsidR="009B5508" w:rsidRPr="00B73D56"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  <w:t>Mhlongo</w:t>
      </w:r>
      <w:proofErr w:type="spellEnd"/>
    </w:p>
    <w:p w:rsidR="00D44900" w:rsidRPr="00B73D56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  <w:t>Deputy Director-General:</w:t>
      </w:r>
      <w:r w:rsidR="00954CA3" w:rsidRPr="00B73D56"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  <w:t xml:space="preserve"> </w:t>
      </w:r>
      <w:r w:rsidR="009B5508" w:rsidRPr="00B73D56"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  <w:t>Corporate Services</w:t>
      </w:r>
    </w:p>
    <w:p w:rsidR="00D44900" w:rsidRPr="00B73D56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  <w:t>………………/………………/202</w:t>
      </w:r>
      <w:r w:rsidR="00E41EAF" w:rsidRPr="00B73D56">
        <w:rPr>
          <w:rFonts w:ascii="Arial Narrow" w:eastAsia="Times New Roman" w:hAnsi="Arial Narrow" w:cs="Tunga"/>
          <w:b/>
          <w:color w:val="000000" w:themeColor="text1"/>
          <w:sz w:val="24"/>
          <w:szCs w:val="24"/>
          <w:lang w:val="en-ZA"/>
        </w:rPr>
        <w:t>3</w:t>
      </w:r>
    </w:p>
    <w:bookmarkEnd w:id="1"/>
    <w:p w:rsidR="00F56D1D" w:rsidRPr="00B73D56" w:rsidRDefault="00F56D1D" w:rsidP="00F56D1D">
      <w:pPr>
        <w:spacing w:after="0" w:line="276" w:lineRule="auto"/>
        <w:rPr>
          <w:rFonts w:ascii="Arial Narrow" w:hAnsi="Arial Narrow" w:cs="Tunga"/>
          <w:bCs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hAnsi="Arial Narrow" w:cs="Tunga"/>
          <w:bCs/>
          <w:color w:val="000000" w:themeColor="text1"/>
          <w:sz w:val="24"/>
          <w:szCs w:val="24"/>
          <w:lang w:val="en-ZA"/>
        </w:rPr>
        <w:t>Recommended/ Not Recommended</w:t>
      </w:r>
    </w:p>
    <w:p w:rsidR="00F56D1D" w:rsidRPr="00B73D56" w:rsidRDefault="00F56D1D" w:rsidP="00034417">
      <w:pPr>
        <w:spacing w:after="0" w:line="276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</w:p>
    <w:p w:rsidR="00181DFA" w:rsidRPr="00B73D56" w:rsidRDefault="00181DFA" w:rsidP="00181DFA">
      <w:pPr>
        <w:spacing w:after="0" w:line="240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</w:p>
    <w:p w:rsidR="00181DFA" w:rsidRPr="00B73D56" w:rsidRDefault="00181DFA" w:rsidP="00181DFA">
      <w:pPr>
        <w:spacing w:after="0" w:line="240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</w:p>
    <w:p w:rsidR="0038037B" w:rsidRPr="00B73D56" w:rsidRDefault="0038037B" w:rsidP="00181DFA">
      <w:pPr>
        <w:spacing w:after="0" w:line="240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</w:p>
    <w:p w:rsidR="003448FA" w:rsidRPr="00B73D56" w:rsidRDefault="008E4132" w:rsidP="003448FA">
      <w:pPr>
        <w:spacing w:after="0" w:line="240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 xml:space="preserve">Mr. Jacob </w:t>
      </w:r>
      <w:proofErr w:type="spellStart"/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Mbele</w:t>
      </w:r>
      <w:proofErr w:type="spellEnd"/>
    </w:p>
    <w:p w:rsidR="003448FA" w:rsidRPr="00B73D56" w:rsidRDefault="003448FA" w:rsidP="003448FA">
      <w:pPr>
        <w:spacing w:after="0" w:line="240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Director</w:t>
      </w:r>
      <w:r w:rsidR="00293CAC"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-</w:t>
      </w:r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General: Department of Mineral Resources and Energy</w:t>
      </w:r>
    </w:p>
    <w:p w:rsidR="003448FA" w:rsidRPr="00B73D56" w:rsidRDefault="003448FA" w:rsidP="003448FA">
      <w:pPr>
        <w:spacing w:after="0" w:line="240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………………/………………/202</w:t>
      </w:r>
      <w:r w:rsidR="00E41EAF"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3</w:t>
      </w:r>
    </w:p>
    <w:p w:rsidR="003448FA" w:rsidRPr="00B73D56" w:rsidRDefault="003448FA" w:rsidP="003448FA">
      <w:pPr>
        <w:spacing w:line="240" w:lineRule="auto"/>
        <w:rPr>
          <w:rFonts w:ascii="Arial Narrow" w:hAnsi="Arial Narrow" w:cs="Tunga"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hAnsi="Arial Narrow" w:cs="Tunga"/>
          <w:color w:val="000000" w:themeColor="text1"/>
          <w:sz w:val="24"/>
          <w:szCs w:val="24"/>
          <w:lang w:val="en-ZA"/>
        </w:rPr>
        <w:t xml:space="preserve">Approved / Not Approved </w:t>
      </w:r>
    </w:p>
    <w:p w:rsidR="008E4132" w:rsidRPr="00B73D56" w:rsidRDefault="008E4132" w:rsidP="00181DFA">
      <w:pPr>
        <w:spacing w:line="240" w:lineRule="auto"/>
        <w:rPr>
          <w:rFonts w:ascii="Arial Narrow" w:hAnsi="Arial Narrow" w:cs="Tunga"/>
          <w:color w:val="000000" w:themeColor="text1"/>
          <w:sz w:val="24"/>
          <w:szCs w:val="24"/>
          <w:lang w:val="en-ZA"/>
        </w:rPr>
      </w:pPr>
    </w:p>
    <w:p w:rsidR="0038037B" w:rsidRPr="00B73D56" w:rsidRDefault="0038037B" w:rsidP="00181DFA">
      <w:pPr>
        <w:spacing w:line="240" w:lineRule="auto"/>
        <w:rPr>
          <w:rFonts w:ascii="Arial Narrow" w:hAnsi="Arial Narrow" w:cs="Tunga"/>
          <w:color w:val="000000" w:themeColor="text1"/>
          <w:sz w:val="24"/>
          <w:szCs w:val="24"/>
          <w:lang w:val="en-ZA"/>
        </w:rPr>
      </w:pPr>
    </w:p>
    <w:p w:rsidR="006A4921" w:rsidRPr="00B73D56" w:rsidRDefault="006A4921" w:rsidP="00181DFA">
      <w:pPr>
        <w:spacing w:line="240" w:lineRule="auto"/>
        <w:rPr>
          <w:rFonts w:ascii="Arial Narrow" w:hAnsi="Arial Narrow" w:cs="Tunga"/>
          <w:color w:val="000000" w:themeColor="text1"/>
          <w:sz w:val="24"/>
          <w:szCs w:val="24"/>
          <w:lang w:val="en-ZA"/>
        </w:rPr>
      </w:pPr>
    </w:p>
    <w:p w:rsidR="00181DFA" w:rsidRPr="00B73D56" w:rsidRDefault="00181DFA" w:rsidP="00181DFA">
      <w:pPr>
        <w:spacing w:after="0" w:line="240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 xml:space="preserve">Mr. S.G </w:t>
      </w:r>
      <w:proofErr w:type="spellStart"/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Mantashe</w:t>
      </w:r>
      <w:proofErr w:type="spellEnd"/>
    </w:p>
    <w:p w:rsidR="00181DFA" w:rsidRPr="00B73D56" w:rsidRDefault="00181DFA" w:rsidP="00181DFA">
      <w:pPr>
        <w:spacing w:after="0" w:line="240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 xml:space="preserve">Minister of Mineral Resources and Energy </w:t>
      </w:r>
    </w:p>
    <w:p w:rsidR="00181DFA" w:rsidRPr="00B73D56" w:rsidRDefault="00181DFA" w:rsidP="006A4921">
      <w:pPr>
        <w:spacing w:after="0" w:line="276" w:lineRule="auto"/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………………/………………/202</w:t>
      </w:r>
      <w:r w:rsidR="00E41EAF" w:rsidRPr="00B73D56">
        <w:rPr>
          <w:rFonts w:ascii="Arial Narrow" w:hAnsi="Arial Narrow" w:cs="Tunga"/>
          <w:b/>
          <w:color w:val="000000" w:themeColor="text1"/>
          <w:sz w:val="24"/>
          <w:szCs w:val="24"/>
          <w:lang w:val="en-ZA"/>
        </w:rPr>
        <w:t>3</w:t>
      </w:r>
    </w:p>
    <w:p w:rsidR="003E4562" w:rsidRPr="00B73D56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</w:p>
    <w:p w:rsidR="0038037B" w:rsidRPr="00B73D56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</w:rPr>
      </w:pPr>
    </w:p>
    <w:p w:rsidR="009B5508" w:rsidRPr="00B73D56" w:rsidRDefault="009B5508" w:rsidP="009B5508">
      <w:pPr>
        <w:spacing w:line="360" w:lineRule="auto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lastRenderedPageBreak/>
        <w:t xml:space="preserve">66. </w:t>
      </w: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ab/>
      </w:r>
      <w:bookmarkStart w:id="2" w:name="_Hlk127189534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Mr K J </w:t>
      </w:r>
      <w:proofErr w:type="spellStart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Mileham</w:t>
      </w:r>
      <w:proofErr w:type="spellEnd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 (DA) </w:t>
      </w:r>
      <w:bookmarkEnd w:id="2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to ask the Minister of Mineral Resources and Energy: </w:t>
      </w:r>
    </w:p>
    <w:p w:rsidR="009B5508" w:rsidRPr="00B73D56" w:rsidRDefault="009B5508" w:rsidP="009B5508">
      <w:pPr>
        <w:spacing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(a) What total volume of diesel did (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i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) 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and (ii) the Strategic Fuel Fund (SFF) procure for wholesale purposes in each month of 2022 and (b) in each case, (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i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) who did they purchase the diesel from, (ii) how much diesel was purchased, (iii) how much diesel was sold to Eskom and (iv) what 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markup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did (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aa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) 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and (bb) the SFF put on the diesel that was sold to Eskom? </w:t>
      </w: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NW66E </w:t>
      </w:r>
    </w:p>
    <w:p w:rsidR="00B73D56" w:rsidRPr="00B73D56" w:rsidRDefault="00B73D56" w:rsidP="009B5508">
      <w:pPr>
        <w:spacing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</w:pPr>
    </w:p>
    <w:p w:rsidR="00B73D56" w:rsidRPr="00B73D56" w:rsidRDefault="00B73D56" w:rsidP="00B73D56">
      <w:pPr>
        <w:spacing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RESPONSES:</w:t>
      </w:r>
    </w:p>
    <w:p w:rsidR="00B73D56" w:rsidRPr="00B73D56" w:rsidRDefault="00B73D56" w:rsidP="00B73D56">
      <w:pPr>
        <w:spacing w:line="360" w:lineRule="auto"/>
        <w:ind w:left="720"/>
        <w:jc w:val="both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SFF Reply:</w:t>
      </w:r>
    </w:p>
    <w:p w:rsidR="00B73D56" w:rsidRPr="00B73D56" w:rsidRDefault="00B73D56" w:rsidP="00B73D56">
      <w:pPr>
        <w:ind w:left="709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Strategic Fuel Fund (SFF) never bought and/or sold diesel in 2022.</w:t>
      </w:r>
    </w:p>
    <w:p w:rsidR="00B73D56" w:rsidRPr="00B73D56" w:rsidRDefault="00B73D56" w:rsidP="00B73D56">
      <w:pPr>
        <w:spacing w:line="360" w:lineRule="auto"/>
        <w:ind w:left="72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</w:p>
    <w:p w:rsidR="00B73D56" w:rsidRPr="00B73D56" w:rsidRDefault="00B73D56" w:rsidP="00B73D56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color w:val="000000" w:themeColor="text1"/>
          <w:sz w:val="24"/>
          <w:szCs w:val="24"/>
          <w:lang w:val="en-ZA"/>
        </w:rPr>
      </w:pPr>
      <w:proofErr w:type="spellStart"/>
      <w:r w:rsidRPr="00B73D56">
        <w:rPr>
          <w:rFonts w:ascii="Arial Narrow" w:hAnsi="Arial Narrow"/>
          <w:b/>
          <w:color w:val="000000" w:themeColor="text1"/>
          <w:sz w:val="24"/>
          <w:szCs w:val="24"/>
          <w:lang w:val="en-ZA"/>
        </w:rPr>
        <w:t>PetroSA</w:t>
      </w:r>
      <w:proofErr w:type="spellEnd"/>
      <w:r w:rsidRPr="00B73D56">
        <w:rPr>
          <w:rFonts w:ascii="Arial Narrow" w:hAnsi="Arial Narrow"/>
          <w:b/>
          <w:color w:val="000000" w:themeColor="text1"/>
          <w:sz w:val="24"/>
          <w:szCs w:val="24"/>
          <w:lang w:val="en-ZA"/>
        </w:rPr>
        <w:t xml:space="preserve"> Reply:</w:t>
      </w:r>
    </w:p>
    <w:p w:rsidR="00B73D56" w:rsidRPr="00B73D56" w:rsidRDefault="00B74CDD" w:rsidP="00B74CDD">
      <w:pPr>
        <w:pStyle w:val="ListParagraph"/>
        <w:numPr>
          <w:ilvl w:val="0"/>
          <w:numId w:val="19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What total volume of diesel did </w:t>
      </w:r>
    </w:p>
    <w:p w:rsidR="00727DFC" w:rsidRPr="00B73D56" w:rsidRDefault="00B74CDD" w:rsidP="00B73D56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(</w:t>
      </w:r>
      <w:proofErr w:type="spellStart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i</w:t>
      </w:r>
      <w:proofErr w:type="spellEnd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) </w:t>
      </w:r>
      <w:proofErr w:type="spellStart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PetroSA</w:t>
      </w:r>
      <w:proofErr w:type="spellEnd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 procure for wholesale purposes in each month of 2022</w:t>
      </w:r>
    </w:p>
    <w:p w:rsidR="00B74CDD" w:rsidRPr="00B73D56" w:rsidRDefault="00B74CDD" w:rsidP="00B74CDD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This is commercial</w:t>
      </w:r>
      <w:r w:rsidR="00B73D56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ly</w:t>
      </w: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sensitive information which cannot be disclosed in the public domain a</w:t>
      </w:r>
      <w:r w:rsidR="001047BA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s it may</w:t>
      </w: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end up in the hands of 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PetroSA’s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competitors</w:t>
      </w:r>
      <w:r w:rsidR="001047BA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. </w:t>
      </w:r>
      <w:r w:rsidR="00043881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This relates to </w:t>
      </w:r>
      <w:proofErr w:type="spellStart"/>
      <w:r w:rsidR="00043881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PetroSA’s</w:t>
      </w:r>
      <w:proofErr w:type="spellEnd"/>
      <w:r w:rsidR="00043881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market share which is commercially sensitive </w:t>
      </w:r>
      <w:r w:rsidR="001659BA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information.</w:t>
      </w:r>
    </w:p>
    <w:p w:rsidR="00B74CDD" w:rsidRPr="00B73D56" w:rsidRDefault="00B74CDD" w:rsidP="00B74CDD">
      <w:pPr>
        <w:pStyle w:val="ListParagraph"/>
        <w:numPr>
          <w:ilvl w:val="0"/>
          <w:numId w:val="19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in each case, (</w:t>
      </w:r>
      <w:proofErr w:type="spellStart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i</w:t>
      </w:r>
      <w:proofErr w:type="spellEnd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) who did they purchase the diesel from,</w:t>
      </w:r>
    </w:p>
    <w:p w:rsidR="009E5C54" w:rsidRPr="00B73D56" w:rsidRDefault="009E5C54" w:rsidP="009E5C54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In terms of the confidentiality provisions contained in the agreements with the Suppliers, providing the information would be a breach of such confidentiality provisions.</w:t>
      </w:r>
    </w:p>
    <w:p w:rsidR="00B74CDD" w:rsidRPr="00B73D56" w:rsidRDefault="00B74CDD" w:rsidP="00B74CDD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(ii) </w:t>
      </w:r>
      <w:proofErr w:type="gramStart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how</w:t>
      </w:r>
      <w:proofErr w:type="gramEnd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 much diesel was purchased</w:t>
      </w:r>
    </w:p>
    <w:p w:rsidR="00043881" w:rsidRPr="00B73D56" w:rsidRDefault="00043881" w:rsidP="00B74CDD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See response in a) (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i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) above </w:t>
      </w:r>
    </w:p>
    <w:p w:rsidR="00B74CDD" w:rsidRPr="00B73D56" w:rsidRDefault="00B74CDD" w:rsidP="00B74CDD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(iii) </w:t>
      </w:r>
      <w:proofErr w:type="gramStart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how</w:t>
      </w:r>
      <w:proofErr w:type="gramEnd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 much diesel was sold to Eskom</w:t>
      </w:r>
    </w:p>
    <w:p w:rsidR="00DF13CA" w:rsidRPr="00B73D56" w:rsidRDefault="00043881" w:rsidP="00B74CDD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As already alluded in a) (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i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) above, it is not in 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PetroSA’s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interest to disclose information </w:t>
      </w:r>
      <w:r w:rsidR="00792B7E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pertaining to its volumes </w:t>
      </w: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as it is </w:t>
      </w:r>
      <w:r w:rsidR="00842ACA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commercially</w:t>
      </w: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sensitive information </w:t>
      </w:r>
      <w:r w:rsidR="00792B7E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because </w:t>
      </w: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it relates to 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PetroSA’s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share</w:t>
      </w:r>
      <w:r w:rsidR="00792B7E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in the market</w:t>
      </w:r>
      <w:proofErr w:type="gramStart"/>
      <w:r w:rsidR="00792B7E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.</w:t>
      </w: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.</w:t>
      </w:r>
      <w:proofErr w:type="gram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 </w:t>
      </w:r>
    </w:p>
    <w:p w:rsidR="00DF13CA" w:rsidRPr="00B73D56" w:rsidRDefault="00DF13CA" w:rsidP="00B74CDD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(iv) </w:t>
      </w:r>
      <w:proofErr w:type="gramStart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what</w:t>
      </w:r>
      <w:proofErr w:type="gramEnd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 </w:t>
      </w:r>
      <w:proofErr w:type="spellStart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markup</w:t>
      </w:r>
      <w:proofErr w:type="spellEnd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 did (</w:t>
      </w:r>
      <w:proofErr w:type="spellStart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aa</w:t>
      </w:r>
      <w:proofErr w:type="spellEnd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) </w:t>
      </w:r>
      <w:proofErr w:type="spellStart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>PetroSA</w:t>
      </w:r>
      <w:proofErr w:type="spellEnd"/>
      <w:r w:rsidRPr="00B73D56"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  <w:lang w:val="en-ZA"/>
        </w:rPr>
        <w:t xml:space="preserve"> put on the diesel that was sold to Eskom? </w:t>
      </w:r>
    </w:p>
    <w:p w:rsidR="00DF13CA" w:rsidRPr="00B73D56" w:rsidRDefault="00DF13CA" w:rsidP="00B74CDD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</w:pP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This is commercial</w:t>
      </w:r>
      <w:r w:rsidR="00B73D56"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ly</w:t>
      </w: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sensitive information as it relates to </w:t>
      </w:r>
      <w:proofErr w:type="spellStart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>PetroSA’s</w:t>
      </w:r>
      <w:proofErr w:type="spellEnd"/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competitive margin in the market.  </w:t>
      </w:r>
    </w:p>
    <w:p w:rsidR="00043881" w:rsidRPr="00B73D56" w:rsidRDefault="00043881" w:rsidP="00B74CDD">
      <w:pPr>
        <w:pStyle w:val="ListParagraph"/>
        <w:tabs>
          <w:tab w:val="left" w:pos="1845"/>
        </w:tabs>
        <w:spacing w:line="360" w:lineRule="auto"/>
        <w:ind w:left="1080"/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  <w:r w:rsidRPr="00B73D56">
        <w:rPr>
          <w:rFonts w:ascii="Arial Narrow" w:eastAsia="Calibri" w:hAnsi="Arial Narrow" w:cs="Times New Roman"/>
          <w:color w:val="000000" w:themeColor="text1"/>
          <w:sz w:val="24"/>
          <w:szCs w:val="24"/>
          <w:lang w:val="en-ZA"/>
        </w:rPr>
        <w:t xml:space="preserve"> </w:t>
      </w:r>
    </w:p>
    <w:sectPr w:rsidR="00043881" w:rsidRPr="00B73D56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32" w:rsidRDefault="00ED7C32" w:rsidP="00CB32D0">
      <w:pPr>
        <w:spacing w:after="0" w:line="240" w:lineRule="auto"/>
      </w:pPr>
      <w:r>
        <w:separator/>
      </w:r>
    </w:p>
  </w:endnote>
  <w:endnote w:type="continuationSeparator" w:id="0">
    <w:p w:rsidR="00ED7C32" w:rsidRDefault="00ED7C32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32" w:rsidRDefault="00ED7C32" w:rsidP="00CB32D0">
      <w:pPr>
        <w:spacing w:after="0" w:line="240" w:lineRule="auto"/>
      </w:pPr>
      <w:r>
        <w:separator/>
      </w:r>
    </w:p>
  </w:footnote>
  <w:footnote w:type="continuationSeparator" w:id="0">
    <w:p w:rsidR="00ED7C32" w:rsidRDefault="00ED7C32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84818"/>
    <w:multiLevelType w:val="hybridMultilevel"/>
    <w:tmpl w:val="FA600108"/>
    <w:lvl w:ilvl="0" w:tplc="1A4EA574">
      <w:start w:val="1"/>
      <w:numFmt w:val="lowerLetter"/>
      <w:lvlText w:val="(%1)"/>
      <w:lvlJc w:val="left"/>
      <w:pPr>
        <w:ind w:left="1080" w:hanging="360"/>
      </w:pPr>
      <w:rPr>
        <w:rFonts w:eastAsia="Calibri"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432D2"/>
    <w:rsid w:val="00043881"/>
    <w:rsid w:val="00080BDC"/>
    <w:rsid w:val="000855CE"/>
    <w:rsid w:val="000E3DF5"/>
    <w:rsid w:val="000E4AEB"/>
    <w:rsid w:val="001047BA"/>
    <w:rsid w:val="0011628B"/>
    <w:rsid w:val="00124341"/>
    <w:rsid w:val="00136BFF"/>
    <w:rsid w:val="00141D4A"/>
    <w:rsid w:val="00156EF2"/>
    <w:rsid w:val="001577D9"/>
    <w:rsid w:val="00160946"/>
    <w:rsid w:val="001627BA"/>
    <w:rsid w:val="001659BA"/>
    <w:rsid w:val="00181DFA"/>
    <w:rsid w:val="00185CAE"/>
    <w:rsid w:val="00187759"/>
    <w:rsid w:val="00197806"/>
    <w:rsid w:val="00197CC9"/>
    <w:rsid w:val="001A15C0"/>
    <w:rsid w:val="001A57DF"/>
    <w:rsid w:val="001A6B56"/>
    <w:rsid w:val="001E21CE"/>
    <w:rsid w:val="00203520"/>
    <w:rsid w:val="00214C1C"/>
    <w:rsid w:val="002204A5"/>
    <w:rsid w:val="00221977"/>
    <w:rsid w:val="00231011"/>
    <w:rsid w:val="00250D05"/>
    <w:rsid w:val="00266DB3"/>
    <w:rsid w:val="00293CAC"/>
    <w:rsid w:val="002E1576"/>
    <w:rsid w:val="0030108A"/>
    <w:rsid w:val="003076BD"/>
    <w:rsid w:val="00314895"/>
    <w:rsid w:val="0034077E"/>
    <w:rsid w:val="003448FA"/>
    <w:rsid w:val="003636ED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401A10"/>
    <w:rsid w:val="0040330D"/>
    <w:rsid w:val="00426EFD"/>
    <w:rsid w:val="00442425"/>
    <w:rsid w:val="004B6B3B"/>
    <w:rsid w:val="004C1BED"/>
    <w:rsid w:val="004C5013"/>
    <w:rsid w:val="004C51D7"/>
    <w:rsid w:val="004C621C"/>
    <w:rsid w:val="004D4AD9"/>
    <w:rsid w:val="0053040C"/>
    <w:rsid w:val="005319B0"/>
    <w:rsid w:val="00544630"/>
    <w:rsid w:val="0054464A"/>
    <w:rsid w:val="005568F6"/>
    <w:rsid w:val="00582A0F"/>
    <w:rsid w:val="005A5A7B"/>
    <w:rsid w:val="005E1E7F"/>
    <w:rsid w:val="00625599"/>
    <w:rsid w:val="00681D41"/>
    <w:rsid w:val="006A0B3C"/>
    <w:rsid w:val="006A4921"/>
    <w:rsid w:val="006A6A7D"/>
    <w:rsid w:val="006B4C58"/>
    <w:rsid w:val="006B71A5"/>
    <w:rsid w:val="006F05FC"/>
    <w:rsid w:val="0071050A"/>
    <w:rsid w:val="00710958"/>
    <w:rsid w:val="00711221"/>
    <w:rsid w:val="007174D8"/>
    <w:rsid w:val="00727DFC"/>
    <w:rsid w:val="0078283F"/>
    <w:rsid w:val="00792B7E"/>
    <w:rsid w:val="007A5EA7"/>
    <w:rsid w:val="007C5C73"/>
    <w:rsid w:val="007E4592"/>
    <w:rsid w:val="007F282F"/>
    <w:rsid w:val="008059D7"/>
    <w:rsid w:val="0083119E"/>
    <w:rsid w:val="00837FED"/>
    <w:rsid w:val="00842ACA"/>
    <w:rsid w:val="00843DCD"/>
    <w:rsid w:val="00845F43"/>
    <w:rsid w:val="00851582"/>
    <w:rsid w:val="00852A1A"/>
    <w:rsid w:val="00860719"/>
    <w:rsid w:val="008828E8"/>
    <w:rsid w:val="008C62D9"/>
    <w:rsid w:val="008D026B"/>
    <w:rsid w:val="008D58AA"/>
    <w:rsid w:val="008D697D"/>
    <w:rsid w:val="008E4132"/>
    <w:rsid w:val="008E451D"/>
    <w:rsid w:val="008F0AF5"/>
    <w:rsid w:val="008F145C"/>
    <w:rsid w:val="008F62AD"/>
    <w:rsid w:val="009233BA"/>
    <w:rsid w:val="00923B31"/>
    <w:rsid w:val="0094617A"/>
    <w:rsid w:val="009473EF"/>
    <w:rsid w:val="00950B60"/>
    <w:rsid w:val="00954766"/>
    <w:rsid w:val="00954CA3"/>
    <w:rsid w:val="00984193"/>
    <w:rsid w:val="00986B0C"/>
    <w:rsid w:val="009936BA"/>
    <w:rsid w:val="00995349"/>
    <w:rsid w:val="009A60C1"/>
    <w:rsid w:val="009B19CB"/>
    <w:rsid w:val="009B48D3"/>
    <w:rsid w:val="009B5508"/>
    <w:rsid w:val="009D65E0"/>
    <w:rsid w:val="009E1DDD"/>
    <w:rsid w:val="009E263D"/>
    <w:rsid w:val="009E5C54"/>
    <w:rsid w:val="009F154C"/>
    <w:rsid w:val="009F4AC4"/>
    <w:rsid w:val="00A06402"/>
    <w:rsid w:val="00A343F2"/>
    <w:rsid w:val="00A41922"/>
    <w:rsid w:val="00A43B1B"/>
    <w:rsid w:val="00A44FDD"/>
    <w:rsid w:val="00A54A61"/>
    <w:rsid w:val="00A55A3F"/>
    <w:rsid w:val="00A67F74"/>
    <w:rsid w:val="00AB193F"/>
    <w:rsid w:val="00AC4063"/>
    <w:rsid w:val="00AC6437"/>
    <w:rsid w:val="00AD6EE5"/>
    <w:rsid w:val="00B16756"/>
    <w:rsid w:val="00B4621D"/>
    <w:rsid w:val="00B5182D"/>
    <w:rsid w:val="00B52694"/>
    <w:rsid w:val="00B73D56"/>
    <w:rsid w:val="00B74CDD"/>
    <w:rsid w:val="00B8038F"/>
    <w:rsid w:val="00C0000D"/>
    <w:rsid w:val="00C02AE1"/>
    <w:rsid w:val="00C37737"/>
    <w:rsid w:val="00C4132E"/>
    <w:rsid w:val="00C80B8A"/>
    <w:rsid w:val="00C91FDE"/>
    <w:rsid w:val="00C92C7F"/>
    <w:rsid w:val="00CB32D0"/>
    <w:rsid w:val="00CB367F"/>
    <w:rsid w:val="00CB7087"/>
    <w:rsid w:val="00CB793A"/>
    <w:rsid w:val="00CC15E4"/>
    <w:rsid w:val="00CE14C2"/>
    <w:rsid w:val="00D44900"/>
    <w:rsid w:val="00D60358"/>
    <w:rsid w:val="00D75F94"/>
    <w:rsid w:val="00D84511"/>
    <w:rsid w:val="00D97FD4"/>
    <w:rsid w:val="00DA1FC9"/>
    <w:rsid w:val="00DC266B"/>
    <w:rsid w:val="00DD573C"/>
    <w:rsid w:val="00DE4478"/>
    <w:rsid w:val="00DF13CA"/>
    <w:rsid w:val="00DF515A"/>
    <w:rsid w:val="00E07DEE"/>
    <w:rsid w:val="00E24EF8"/>
    <w:rsid w:val="00E2525F"/>
    <w:rsid w:val="00E41AF8"/>
    <w:rsid w:val="00E41EAF"/>
    <w:rsid w:val="00E52B1F"/>
    <w:rsid w:val="00E5429F"/>
    <w:rsid w:val="00E63D61"/>
    <w:rsid w:val="00E809D4"/>
    <w:rsid w:val="00E80C31"/>
    <w:rsid w:val="00E80C52"/>
    <w:rsid w:val="00EA05C0"/>
    <w:rsid w:val="00EB54F8"/>
    <w:rsid w:val="00EC2FBA"/>
    <w:rsid w:val="00ED1128"/>
    <w:rsid w:val="00ED1859"/>
    <w:rsid w:val="00ED7C32"/>
    <w:rsid w:val="00EF6A9F"/>
    <w:rsid w:val="00F114B8"/>
    <w:rsid w:val="00F30128"/>
    <w:rsid w:val="00F353C7"/>
    <w:rsid w:val="00F37BA1"/>
    <w:rsid w:val="00F50042"/>
    <w:rsid w:val="00F56D1D"/>
    <w:rsid w:val="00F7108E"/>
    <w:rsid w:val="00F76518"/>
    <w:rsid w:val="00F820D5"/>
    <w:rsid w:val="00F85F38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table" w:styleId="TableGrid">
    <w:name w:val="Table Grid"/>
    <w:basedOn w:val="TableNormal"/>
    <w:uiPriority w:val="39"/>
    <w:rsid w:val="00DC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4388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2023-02-27T09:03:00Z</dcterms:created>
  <dcterms:modified xsi:type="dcterms:W3CDTF">2023-02-27T09:03:00Z</dcterms:modified>
</cp:coreProperties>
</file>