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7536D1" w:rsidP="00DC0DD3">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2152650</wp:posOffset>
            </wp:positionH>
            <wp:positionV relativeFrom="line">
              <wp:posOffset>148590</wp:posOffset>
            </wp:positionV>
            <wp:extent cx="1134745" cy="97663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134745" cy="976630"/>
                    </a:xfrm>
                    <a:prstGeom prst="rect">
                      <a:avLst/>
                    </a:prstGeom>
                    <a:noFill/>
                  </pic:spPr>
                </pic:pic>
              </a:graphicData>
            </a:graphic>
          </wp:anchor>
        </w:drawing>
      </w:r>
    </w:p>
    <w:p w:rsidR="005047F1" w:rsidRDefault="005047F1" w:rsidP="00DB2624">
      <w:pPr>
        <w:rPr>
          <w:lang w:val="en-ZA"/>
        </w:rPr>
      </w:pP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C01645">
      <w:pPr>
        <w:jc w:val="center"/>
        <w:rPr>
          <w:rFonts w:ascii="Arial" w:hAnsi="Arial" w:cs="Arial"/>
          <w:b/>
          <w:bCs/>
          <w:sz w:val="22"/>
          <w:szCs w:val="22"/>
        </w:rPr>
      </w:pPr>
      <w:r w:rsidRPr="006B7A8C">
        <w:rPr>
          <w:rFonts w:ascii="Arial" w:hAnsi="Arial" w:cs="Arial"/>
          <w:b/>
          <w:bCs/>
          <w:sz w:val="22"/>
          <w:szCs w:val="22"/>
        </w:rPr>
        <w:t>NATIONAL ASSEMBLY</w:t>
      </w:r>
    </w:p>
    <w:p w:rsidR="0050428B" w:rsidRPr="00BF56FC" w:rsidRDefault="0050428B" w:rsidP="00C01645">
      <w:pPr>
        <w:ind w:left="284" w:hanging="284"/>
        <w:jc w:val="center"/>
        <w:rPr>
          <w:rFonts w:ascii="Arial" w:hAnsi="Arial" w:cs="Arial"/>
          <w:b/>
          <w:bCs/>
          <w:sz w:val="22"/>
          <w:szCs w:val="22"/>
          <w:lang w:val="en-ZA"/>
        </w:rPr>
      </w:pPr>
      <w:r w:rsidRPr="00BF56FC">
        <w:rPr>
          <w:rFonts w:ascii="Arial" w:hAnsi="Arial" w:cs="Arial"/>
          <w:b/>
          <w:bCs/>
          <w:sz w:val="22"/>
          <w:szCs w:val="22"/>
          <w:lang w:val="en-ZA"/>
        </w:rPr>
        <w:t>QUESTION FOR WRITTEN REPLY</w:t>
      </w:r>
    </w:p>
    <w:p w:rsidR="0050428B" w:rsidRDefault="0050428B" w:rsidP="00C01645">
      <w:pPr>
        <w:spacing w:line="312" w:lineRule="auto"/>
        <w:ind w:left="142" w:hanging="142"/>
        <w:jc w:val="center"/>
        <w:rPr>
          <w:rFonts w:ascii="Arial" w:hAnsi="Arial" w:cs="Arial"/>
          <w:b/>
          <w:bCs/>
          <w:sz w:val="22"/>
          <w:szCs w:val="22"/>
          <w:lang w:val="en-ZA"/>
        </w:rPr>
      </w:pPr>
      <w:r w:rsidRPr="00BF56FC">
        <w:rPr>
          <w:rFonts w:ascii="Arial" w:hAnsi="Arial" w:cs="Arial"/>
          <w:b/>
          <w:bCs/>
          <w:sz w:val="22"/>
          <w:szCs w:val="22"/>
          <w:lang w:val="en-ZA"/>
        </w:rPr>
        <w:t>QUESTION NO.:</w:t>
      </w:r>
      <w:r w:rsidRPr="00BF56FC">
        <w:rPr>
          <w:rFonts w:ascii="Arial" w:hAnsi="Arial" w:cs="Arial"/>
          <w:b/>
          <w:bCs/>
          <w:sz w:val="22"/>
          <w:szCs w:val="22"/>
          <w:lang w:val="en-ZA"/>
        </w:rPr>
        <w:tab/>
        <w:t xml:space="preserve">PQ </w:t>
      </w:r>
      <w:r w:rsidR="007A0033">
        <w:rPr>
          <w:rFonts w:ascii="Arial" w:hAnsi="Arial" w:cs="Arial"/>
          <w:b/>
          <w:bCs/>
          <w:sz w:val="22"/>
          <w:szCs w:val="22"/>
          <w:lang w:val="en-ZA"/>
        </w:rPr>
        <w:t>654</w:t>
      </w:r>
    </w:p>
    <w:p w:rsidR="0050428B" w:rsidRDefault="0050428B" w:rsidP="0050428B">
      <w:pPr>
        <w:spacing w:line="312" w:lineRule="auto"/>
        <w:ind w:left="142" w:hanging="142"/>
        <w:jc w:val="both"/>
        <w:rPr>
          <w:rFonts w:ascii="Arial" w:hAnsi="Arial" w:cs="Arial"/>
          <w:sz w:val="20"/>
          <w:szCs w:val="20"/>
        </w:rPr>
      </w:pPr>
    </w:p>
    <w:p w:rsidR="0050428B" w:rsidRPr="00C01645" w:rsidRDefault="00C01645" w:rsidP="0050428B">
      <w:pPr>
        <w:spacing w:line="312" w:lineRule="auto"/>
        <w:ind w:left="142" w:hanging="142"/>
        <w:jc w:val="both"/>
        <w:rPr>
          <w:rFonts w:ascii="Arial" w:hAnsi="Arial" w:cs="Arial"/>
          <w:sz w:val="20"/>
          <w:szCs w:val="20"/>
          <w:u w:val="single"/>
        </w:rPr>
      </w:pPr>
      <w:r w:rsidRPr="00C01645">
        <w:rPr>
          <w:rFonts w:ascii="Arial" w:hAnsi="Arial" w:cs="Arial"/>
          <w:b/>
          <w:bCs/>
          <w:sz w:val="22"/>
          <w:szCs w:val="22"/>
          <w:u w:val="single"/>
          <w:lang w:val="en-ZA"/>
        </w:rPr>
        <w:t>QUESTION</w:t>
      </w:r>
      <w:r w:rsidR="0050428B" w:rsidRPr="00C01645">
        <w:rPr>
          <w:rFonts w:ascii="Arial" w:hAnsi="Arial" w:cs="Arial"/>
          <w:b/>
          <w:bCs/>
          <w:sz w:val="22"/>
          <w:szCs w:val="22"/>
          <w:u w:val="single"/>
          <w:lang w:val="en-ZA"/>
        </w:rPr>
        <w:t>:</w:t>
      </w:r>
    </w:p>
    <w:p w:rsidR="00646059" w:rsidRPr="0050428B" w:rsidRDefault="00646059" w:rsidP="00646059">
      <w:pPr>
        <w:tabs>
          <w:tab w:val="left" w:pos="0"/>
        </w:tabs>
        <w:autoSpaceDE w:val="0"/>
        <w:autoSpaceDN w:val="0"/>
        <w:adjustRightInd w:val="0"/>
        <w:spacing w:line="360" w:lineRule="auto"/>
        <w:jc w:val="both"/>
        <w:rPr>
          <w:rFonts w:ascii="Arial" w:hAnsi="Arial" w:cs="Arial"/>
          <w:color w:val="000000"/>
          <w:sz w:val="22"/>
          <w:szCs w:val="22"/>
        </w:rPr>
      </w:pPr>
      <w:r w:rsidRPr="0050428B">
        <w:rPr>
          <w:rFonts w:ascii="Arial" w:hAnsi="Arial" w:cs="Arial"/>
          <w:b/>
          <w:bCs/>
          <w:color w:val="000000"/>
          <w:sz w:val="22"/>
          <w:szCs w:val="22"/>
        </w:rPr>
        <w:t>654.</w:t>
      </w:r>
      <w:r w:rsidRPr="0050428B">
        <w:rPr>
          <w:rFonts w:ascii="Arial" w:hAnsi="Arial" w:cs="Arial"/>
          <w:b/>
          <w:bCs/>
          <w:color w:val="000000"/>
          <w:sz w:val="22"/>
          <w:szCs w:val="22"/>
        </w:rPr>
        <w:tab/>
        <w:t>Mr. A G Whitfield (DA) to ask the Minister of Public Enterprises:</w:t>
      </w:r>
      <w:r w:rsidRPr="0050428B">
        <w:rPr>
          <w:rFonts w:ascii="Arial" w:hAnsi="Arial" w:cs="Arial"/>
          <w:color w:val="000000"/>
          <w:sz w:val="22"/>
          <w:szCs w:val="22"/>
        </w:rPr>
        <w:t xml:space="preserve"> </w:t>
      </w:r>
    </w:p>
    <w:p w:rsidR="00646059" w:rsidRPr="0050428B" w:rsidRDefault="00646059" w:rsidP="00646059">
      <w:pPr>
        <w:tabs>
          <w:tab w:val="left" w:pos="0"/>
        </w:tabs>
        <w:autoSpaceDE w:val="0"/>
        <w:autoSpaceDN w:val="0"/>
        <w:adjustRightInd w:val="0"/>
        <w:spacing w:line="360" w:lineRule="auto"/>
        <w:jc w:val="both"/>
        <w:rPr>
          <w:rFonts w:ascii="Arial" w:hAnsi="Arial" w:cs="Arial"/>
          <w:color w:val="000000"/>
          <w:sz w:val="22"/>
          <w:szCs w:val="22"/>
        </w:rPr>
      </w:pPr>
      <w:r w:rsidRPr="0050428B">
        <w:rPr>
          <w:rFonts w:ascii="Arial" w:hAnsi="Arial" w:cs="Arial"/>
          <w:color w:val="000000"/>
          <w:sz w:val="22"/>
          <w:szCs w:val="22"/>
        </w:rPr>
        <w:t>What (a) are the reasons for the delay in relocating the fuel tank farm from the Port of Port Elizabeth to the Port of Ngqura, (b) by what date is it envisaged that the relocation will be completed and (c) what plans are in place for the rehabilitation of the current site in the Port of Port Elizabeth?</w:t>
      </w:r>
    </w:p>
    <w:p w:rsidR="00646059" w:rsidRPr="0050428B" w:rsidRDefault="00646059" w:rsidP="00646059">
      <w:pPr>
        <w:tabs>
          <w:tab w:val="left" w:pos="0"/>
        </w:tabs>
        <w:autoSpaceDE w:val="0"/>
        <w:autoSpaceDN w:val="0"/>
        <w:adjustRightInd w:val="0"/>
        <w:spacing w:line="360" w:lineRule="auto"/>
        <w:ind w:left="568"/>
        <w:jc w:val="both"/>
        <w:rPr>
          <w:rFonts w:ascii="Arial" w:hAnsi="Arial" w:cs="Arial"/>
          <w:b/>
          <w:bCs/>
          <w:color w:val="000000"/>
          <w:sz w:val="22"/>
          <w:szCs w:val="22"/>
        </w:rPr>
      </w:pPr>
    </w:p>
    <w:p w:rsidR="00646059" w:rsidRPr="00C01645" w:rsidRDefault="00646059" w:rsidP="00646059">
      <w:pPr>
        <w:tabs>
          <w:tab w:val="left" w:pos="0"/>
        </w:tabs>
        <w:autoSpaceDE w:val="0"/>
        <w:autoSpaceDN w:val="0"/>
        <w:adjustRightInd w:val="0"/>
        <w:spacing w:line="360" w:lineRule="auto"/>
        <w:jc w:val="both"/>
        <w:rPr>
          <w:rFonts w:ascii="Arial" w:hAnsi="Arial" w:cs="Arial"/>
          <w:b/>
          <w:bCs/>
          <w:color w:val="000000"/>
          <w:sz w:val="22"/>
          <w:szCs w:val="22"/>
          <w:u w:val="single"/>
        </w:rPr>
      </w:pPr>
      <w:r w:rsidRPr="00C01645">
        <w:rPr>
          <w:rFonts w:ascii="Arial" w:hAnsi="Arial" w:cs="Arial"/>
          <w:b/>
          <w:bCs/>
          <w:color w:val="000000"/>
          <w:sz w:val="22"/>
          <w:szCs w:val="22"/>
          <w:u w:val="single"/>
        </w:rPr>
        <w:t>RE</w:t>
      </w:r>
      <w:r w:rsidR="00712521" w:rsidRPr="00C01645">
        <w:rPr>
          <w:rFonts w:ascii="Arial" w:hAnsi="Arial" w:cs="Arial"/>
          <w:b/>
          <w:bCs/>
          <w:color w:val="000000"/>
          <w:sz w:val="22"/>
          <w:szCs w:val="22"/>
          <w:u w:val="single"/>
        </w:rPr>
        <w:t>PLY:</w:t>
      </w:r>
    </w:p>
    <w:p w:rsidR="00712521" w:rsidRPr="0050428B" w:rsidRDefault="00712521" w:rsidP="00646059">
      <w:pPr>
        <w:tabs>
          <w:tab w:val="left" w:pos="0"/>
        </w:tabs>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 xml:space="preserve">According to the information received from Transnet </w:t>
      </w:r>
    </w:p>
    <w:p w:rsidR="00646059" w:rsidRPr="0050428B" w:rsidRDefault="00646059" w:rsidP="00646059">
      <w:pPr>
        <w:numPr>
          <w:ilvl w:val="0"/>
          <w:numId w:val="42"/>
        </w:numPr>
        <w:tabs>
          <w:tab w:val="left" w:pos="567"/>
        </w:tabs>
        <w:spacing w:after="240" w:line="360" w:lineRule="auto"/>
        <w:ind w:left="567" w:right="190" w:hanging="567"/>
        <w:contextualSpacing/>
        <w:jc w:val="both"/>
        <w:rPr>
          <w:rFonts w:ascii="Arial" w:hAnsi="Arial" w:cs="Arial"/>
          <w:sz w:val="22"/>
          <w:szCs w:val="22"/>
          <w:lang w:bidi="en-US"/>
        </w:rPr>
      </w:pPr>
      <w:r w:rsidRPr="0050428B">
        <w:rPr>
          <w:rFonts w:ascii="Arial" w:hAnsi="Arial" w:cs="Arial"/>
          <w:sz w:val="22"/>
          <w:szCs w:val="22"/>
          <w:lang w:bidi="en-US"/>
        </w:rPr>
        <w:t>The delay in the relocation of the fuel tank farm was due to the inability of an operator that was appointed in terms of Section 56 of the National Ports Act, to achieve a commercially viable business case for the proposed terminal, and thus a decision was taken to discontinue the project. Subsequently, Transnet supported the Coega Development Corporation (CDC) in developing the liquid bulk facilities in Zone 5 of the Special Economic Zone (SEZ) in view of the advanced progress the CDC had made with the development of their liquid bulk storage facility.</w:t>
      </w:r>
    </w:p>
    <w:p w:rsidR="00646059" w:rsidRPr="0050428B" w:rsidRDefault="00646059" w:rsidP="00646059">
      <w:pPr>
        <w:tabs>
          <w:tab w:val="left" w:pos="567"/>
        </w:tabs>
        <w:spacing w:after="240" w:line="360" w:lineRule="auto"/>
        <w:ind w:left="567" w:right="190" w:hanging="567"/>
        <w:contextualSpacing/>
        <w:jc w:val="both"/>
        <w:rPr>
          <w:rFonts w:ascii="Arial" w:hAnsi="Arial" w:cs="Arial"/>
          <w:sz w:val="22"/>
          <w:szCs w:val="22"/>
          <w:lang w:bidi="en-US"/>
        </w:rPr>
      </w:pPr>
    </w:p>
    <w:p w:rsidR="00646059" w:rsidRPr="0050428B" w:rsidRDefault="00646059" w:rsidP="00646059">
      <w:pPr>
        <w:numPr>
          <w:ilvl w:val="0"/>
          <w:numId w:val="42"/>
        </w:numPr>
        <w:tabs>
          <w:tab w:val="left" w:pos="567"/>
        </w:tabs>
        <w:spacing w:after="240" w:line="360" w:lineRule="auto"/>
        <w:ind w:left="567" w:right="190" w:hanging="567"/>
        <w:contextualSpacing/>
        <w:jc w:val="both"/>
        <w:rPr>
          <w:rFonts w:ascii="Arial" w:hAnsi="Arial" w:cs="Arial"/>
          <w:sz w:val="22"/>
          <w:szCs w:val="22"/>
          <w:lang w:bidi="en-US"/>
        </w:rPr>
      </w:pPr>
      <w:r w:rsidRPr="0050428B">
        <w:rPr>
          <w:rFonts w:ascii="Arial" w:hAnsi="Arial" w:cs="Arial"/>
          <w:sz w:val="22"/>
          <w:szCs w:val="22"/>
          <w:lang w:bidi="en-US"/>
        </w:rPr>
        <w:t>The Transnet National Ports Authority (TNPA) has given termination notice to Astron Energy (Pty) Ltd, Engen Petroleum Ltd, and Total Energies Marketing South Africa (Pty) Ltd (Oil Majors) who operate the Liquid Bulk Terminal in the Port of Port Elizabeth, effective 30 April 2022. As a result of this termination notice, the Oil Majors have lodged an appeal to the Ports Regulator of South Africa (PRSA) contesting this termination.</w:t>
      </w:r>
    </w:p>
    <w:p w:rsidR="00646059" w:rsidRPr="0050428B" w:rsidRDefault="00646059" w:rsidP="00646059">
      <w:pPr>
        <w:tabs>
          <w:tab w:val="left" w:pos="567"/>
        </w:tabs>
        <w:spacing w:after="240" w:line="360" w:lineRule="auto"/>
        <w:ind w:left="567" w:right="190" w:hanging="567"/>
        <w:contextualSpacing/>
        <w:jc w:val="both"/>
        <w:rPr>
          <w:rFonts w:ascii="Arial" w:hAnsi="Arial" w:cs="Arial"/>
          <w:sz w:val="22"/>
          <w:szCs w:val="22"/>
        </w:rPr>
      </w:pPr>
    </w:p>
    <w:p w:rsidR="00646059" w:rsidRPr="0050428B" w:rsidRDefault="00646059" w:rsidP="00646059">
      <w:pPr>
        <w:tabs>
          <w:tab w:val="left" w:pos="567"/>
        </w:tabs>
        <w:spacing w:after="240" w:line="360" w:lineRule="auto"/>
        <w:ind w:left="567" w:right="190" w:hanging="567"/>
        <w:contextualSpacing/>
        <w:jc w:val="both"/>
        <w:rPr>
          <w:rFonts w:ascii="Arial" w:hAnsi="Arial" w:cs="Arial"/>
          <w:sz w:val="22"/>
          <w:szCs w:val="22"/>
        </w:rPr>
      </w:pPr>
      <w:r w:rsidRPr="0050428B">
        <w:rPr>
          <w:rFonts w:ascii="Arial" w:hAnsi="Arial" w:cs="Arial"/>
          <w:sz w:val="22"/>
          <w:szCs w:val="22"/>
        </w:rPr>
        <w:lastRenderedPageBreak/>
        <w:t>A firm timeline for the relocation cannot be determined until such time that:</w:t>
      </w:r>
    </w:p>
    <w:p w:rsidR="00646059" w:rsidRPr="0050428B" w:rsidRDefault="00646059" w:rsidP="00646059">
      <w:pPr>
        <w:tabs>
          <w:tab w:val="left" w:pos="0"/>
          <w:tab w:val="left" w:pos="142"/>
          <w:tab w:val="left" w:pos="426"/>
        </w:tabs>
        <w:spacing w:after="240" w:line="360" w:lineRule="auto"/>
        <w:ind w:right="190"/>
        <w:contextualSpacing/>
        <w:jc w:val="both"/>
        <w:rPr>
          <w:rFonts w:ascii="Arial" w:hAnsi="Arial" w:cs="Arial"/>
          <w:sz w:val="22"/>
          <w:szCs w:val="22"/>
        </w:rPr>
      </w:pPr>
      <w:r w:rsidRPr="0050428B">
        <w:rPr>
          <w:rFonts w:ascii="Arial" w:hAnsi="Arial" w:cs="Arial"/>
          <w:sz w:val="22"/>
          <w:szCs w:val="22"/>
        </w:rPr>
        <w:t xml:space="preserve">1. </w:t>
      </w:r>
      <w:r w:rsidRPr="0050428B">
        <w:rPr>
          <w:rFonts w:ascii="Arial" w:hAnsi="Arial" w:cs="Arial"/>
          <w:sz w:val="22"/>
          <w:szCs w:val="22"/>
        </w:rPr>
        <w:tab/>
        <w:t>TNPA and Astron settling the PRSA matter; and</w:t>
      </w:r>
    </w:p>
    <w:p w:rsidR="00646059" w:rsidRPr="0050428B" w:rsidRDefault="00646059" w:rsidP="00646059">
      <w:pPr>
        <w:tabs>
          <w:tab w:val="left" w:pos="142"/>
          <w:tab w:val="left" w:pos="426"/>
          <w:tab w:val="left" w:pos="567"/>
        </w:tabs>
        <w:spacing w:after="240" w:line="360" w:lineRule="auto"/>
        <w:ind w:left="567" w:right="190" w:hanging="567"/>
        <w:contextualSpacing/>
        <w:jc w:val="both"/>
        <w:rPr>
          <w:rFonts w:ascii="Arial" w:hAnsi="Arial" w:cs="Arial"/>
          <w:sz w:val="22"/>
          <w:szCs w:val="22"/>
        </w:rPr>
      </w:pPr>
      <w:r w:rsidRPr="0050428B">
        <w:rPr>
          <w:rFonts w:ascii="Arial" w:hAnsi="Arial" w:cs="Arial"/>
          <w:sz w:val="22"/>
          <w:szCs w:val="22"/>
        </w:rPr>
        <w:t xml:space="preserve">2. </w:t>
      </w:r>
      <w:r w:rsidRPr="0050428B">
        <w:rPr>
          <w:rFonts w:ascii="Arial" w:hAnsi="Arial" w:cs="Arial"/>
          <w:sz w:val="22"/>
          <w:szCs w:val="22"/>
        </w:rPr>
        <w:tab/>
        <w:t xml:space="preserve">There is a firm commitment from the Oil Majors to commit to commercial offtakes with the CDC or a liquid bulk storage facility operator appointed by the implementing agent CDC. </w:t>
      </w:r>
    </w:p>
    <w:p w:rsidR="00646059" w:rsidRPr="0050428B" w:rsidRDefault="00646059" w:rsidP="00646059">
      <w:pPr>
        <w:tabs>
          <w:tab w:val="left" w:pos="142"/>
          <w:tab w:val="left" w:pos="426"/>
          <w:tab w:val="left" w:pos="567"/>
        </w:tabs>
        <w:spacing w:after="240" w:line="360" w:lineRule="auto"/>
        <w:ind w:left="567" w:right="190" w:hanging="567"/>
        <w:contextualSpacing/>
        <w:jc w:val="both"/>
        <w:rPr>
          <w:rFonts w:ascii="Arial" w:hAnsi="Arial" w:cs="Arial"/>
          <w:sz w:val="22"/>
          <w:szCs w:val="22"/>
        </w:rPr>
      </w:pPr>
    </w:p>
    <w:p w:rsidR="00646059" w:rsidRPr="0050428B" w:rsidRDefault="00646059" w:rsidP="00646059">
      <w:pPr>
        <w:numPr>
          <w:ilvl w:val="0"/>
          <w:numId w:val="42"/>
        </w:numPr>
        <w:tabs>
          <w:tab w:val="left" w:pos="567"/>
        </w:tabs>
        <w:spacing w:after="240" w:line="360" w:lineRule="auto"/>
        <w:ind w:left="567" w:right="190" w:hanging="567"/>
        <w:contextualSpacing/>
        <w:jc w:val="both"/>
        <w:rPr>
          <w:rFonts w:ascii="Arial" w:hAnsi="Arial" w:cs="Arial"/>
          <w:sz w:val="22"/>
          <w:szCs w:val="22"/>
          <w:lang w:bidi="en-US"/>
        </w:rPr>
      </w:pPr>
      <w:r w:rsidRPr="0050428B">
        <w:rPr>
          <w:rFonts w:ascii="Arial" w:hAnsi="Arial" w:cs="Arial"/>
          <w:sz w:val="22"/>
          <w:szCs w:val="22"/>
          <w:lang w:bidi="en-US"/>
        </w:rPr>
        <w:t>In October 2020, the Department of Forestry, Fisheries and the Environment (DFFE) issued a Remediation Order in terms of Part 8 of the National Environmental Management: Waste Act of 2008. This Remediation Order will regulate how the Oil Majors will undertake the decommissioning and remediation of the Port of Port Elizabeth’s liquid bulk terminal. TNPA has initiated negotiations to conclude a Decommissioning and Remediation Exit Agreement.</w:t>
      </w:r>
    </w:p>
    <w:p w:rsidR="00646059" w:rsidRPr="0050428B" w:rsidRDefault="00646059" w:rsidP="00646059">
      <w:pPr>
        <w:tabs>
          <w:tab w:val="left" w:pos="567"/>
        </w:tabs>
        <w:spacing w:after="240" w:line="360" w:lineRule="auto"/>
        <w:ind w:left="568" w:right="190"/>
        <w:contextualSpacing/>
        <w:jc w:val="both"/>
        <w:rPr>
          <w:rFonts w:ascii="Arial" w:hAnsi="Arial" w:cs="Arial"/>
          <w:sz w:val="22"/>
          <w:szCs w:val="22"/>
        </w:rPr>
      </w:pPr>
      <w:r w:rsidRPr="0050428B">
        <w:rPr>
          <w:rFonts w:ascii="Arial" w:hAnsi="Arial" w:cs="Arial"/>
          <w:sz w:val="22"/>
          <w:szCs w:val="22"/>
        </w:rPr>
        <w:t>The Oil Majors have cited that this Agreement cannot be finalised without the PRSA appeal being determined and for realistic timelines for the relocation to the Port of Ngqura/CDC SEZ being agreed to.</w:t>
      </w:r>
    </w:p>
    <w:p w:rsidR="00646059" w:rsidRPr="0050428B" w:rsidRDefault="00646059" w:rsidP="00C25DBD">
      <w:pPr>
        <w:spacing w:line="360" w:lineRule="auto"/>
        <w:jc w:val="both"/>
        <w:rPr>
          <w:rFonts w:ascii="Arial" w:hAnsi="Arial" w:cs="Arial"/>
          <w:b/>
          <w:sz w:val="22"/>
          <w:szCs w:val="22"/>
        </w:rPr>
      </w:pPr>
    </w:p>
    <w:p w:rsidR="006574A8" w:rsidRPr="0050428B" w:rsidRDefault="006574A8" w:rsidP="00C25DBD">
      <w:pPr>
        <w:spacing w:line="360" w:lineRule="auto"/>
        <w:jc w:val="both"/>
        <w:rPr>
          <w:rFonts w:ascii="Arial" w:hAnsi="Arial" w:cs="Arial"/>
          <w:sz w:val="22"/>
          <w:szCs w:val="22"/>
        </w:rPr>
      </w:pPr>
    </w:p>
    <w:p w:rsidR="00DA6149" w:rsidRPr="0050428B" w:rsidRDefault="00DA6149" w:rsidP="00C25DBD">
      <w:pPr>
        <w:spacing w:line="360" w:lineRule="auto"/>
        <w:jc w:val="both"/>
        <w:rPr>
          <w:rFonts w:ascii="Arial" w:hAnsi="Arial" w:cs="Arial"/>
          <w:b/>
          <w:sz w:val="22"/>
          <w:szCs w:val="22"/>
        </w:rPr>
      </w:pPr>
    </w:p>
    <w:p w:rsidR="00DA6149" w:rsidRPr="0050428B" w:rsidRDefault="00DA6149" w:rsidP="00C25DBD">
      <w:pPr>
        <w:autoSpaceDE w:val="0"/>
        <w:autoSpaceDN w:val="0"/>
        <w:adjustRightInd w:val="0"/>
        <w:spacing w:line="360" w:lineRule="auto"/>
        <w:jc w:val="center"/>
        <w:rPr>
          <w:rFonts w:ascii="Arial" w:hAnsi="Arial" w:cs="Arial"/>
          <w:b/>
          <w:bCs/>
          <w:sz w:val="22"/>
          <w:szCs w:val="22"/>
        </w:rPr>
      </w:pPr>
    </w:p>
    <w:sectPr w:rsidR="00DA6149" w:rsidRPr="0050428B">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68" w:rsidRDefault="00EE6168" w:rsidP="002F7B6C">
      <w:r>
        <w:separator/>
      </w:r>
    </w:p>
  </w:endnote>
  <w:endnote w:type="continuationSeparator" w:id="0">
    <w:p w:rsidR="00EE6168" w:rsidRDefault="00EE616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E616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68" w:rsidRDefault="00EE6168" w:rsidP="002F7B6C">
      <w:r>
        <w:separator/>
      </w:r>
    </w:p>
  </w:footnote>
  <w:footnote w:type="continuationSeparator" w:id="0">
    <w:p w:rsidR="00EE6168" w:rsidRDefault="00EE616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750945"/>
    <w:multiLevelType w:val="hybridMultilevel"/>
    <w:tmpl w:val="B4C44DD6"/>
    <w:lvl w:ilvl="0" w:tplc="94D2D85E">
      <w:start w:val="1"/>
      <w:numFmt w:val="lowerLetter"/>
      <w:lvlText w:val="(%1)"/>
      <w:lvlJc w:val="left"/>
      <w:pPr>
        <w:ind w:left="527" w:hanging="405"/>
      </w:pPr>
      <w:rPr>
        <w:rFonts w:ascii="Tahoma" w:eastAsia="Times New Roman" w:hAnsi="Tahoma" w:cs="Tahoma"/>
        <w:b w:val="0"/>
        <w:bCs/>
      </w:rPr>
    </w:lvl>
    <w:lvl w:ilvl="1" w:tplc="1C090019">
      <w:start w:val="1"/>
      <w:numFmt w:val="lowerLetter"/>
      <w:lvlText w:val="%2."/>
      <w:lvlJc w:val="left"/>
      <w:pPr>
        <w:ind w:left="1825" w:hanging="360"/>
      </w:pPr>
    </w:lvl>
    <w:lvl w:ilvl="2" w:tplc="1C09001B">
      <w:start w:val="1"/>
      <w:numFmt w:val="lowerRoman"/>
      <w:lvlText w:val="%3."/>
      <w:lvlJc w:val="right"/>
      <w:pPr>
        <w:ind w:left="2545" w:hanging="180"/>
      </w:pPr>
    </w:lvl>
    <w:lvl w:ilvl="3" w:tplc="1C09000F">
      <w:start w:val="1"/>
      <w:numFmt w:val="decimal"/>
      <w:lvlText w:val="%4."/>
      <w:lvlJc w:val="left"/>
      <w:pPr>
        <w:ind w:left="3265" w:hanging="360"/>
      </w:pPr>
    </w:lvl>
    <w:lvl w:ilvl="4" w:tplc="1C090019">
      <w:start w:val="1"/>
      <w:numFmt w:val="lowerLetter"/>
      <w:lvlText w:val="%5."/>
      <w:lvlJc w:val="left"/>
      <w:pPr>
        <w:ind w:left="3985" w:hanging="360"/>
      </w:pPr>
    </w:lvl>
    <w:lvl w:ilvl="5" w:tplc="1C09001B">
      <w:start w:val="1"/>
      <w:numFmt w:val="lowerRoman"/>
      <w:lvlText w:val="%6."/>
      <w:lvlJc w:val="right"/>
      <w:pPr>
        <w:ind w:left="4705" w:hanging="180"/>
      </w:pPr>
    </w:lvl>
    <w:lvl w:ilvl="6" w:tplc="1C09000F">
      <w:start w:val="1"/>
      <w:numFmt w:val="decimal"/>
      <w:lvlText w:val="%7."/>
      <w:lvlJc w:val="left"/>
      <w:pPr>
        <w:ind w:left="5425" w:hanging="360"/>
      </w:pPr>
    </w:lvl>
    <w:lvl w:ilvl="7" w:tplc="1C090019">
      <w:start w:val="1"/>
      <w:numFmt w:val="lowerLetter"/>
      <w:lvlText w:val="%8."/>
      <w:lvlJc w:val="left"/>
      <w:pPr>
        <w:ind w:left="6145" w:hanging="360"/>
      </w:pPr>
    </w:lvl>
    <w:lvl w:ilvl="8" w:tplc="1C09001B">
      <w:start w:val="1"/>
      <w:numFmt w:val="lowerRoman"/>
      <w:lvlText w:val="%9."/>
      <w:lvlJc w:val="right"/>
      <w:pPr>
        <w:ind w:left="6865" w:hanging="180"/>
      </w:pPr>
    </w:lvl>
  </w:abstractNum>
  <w:abstractNum w:abstractNumId="3">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A1B1C"/>
    <w:multiLevelType w:val="hybridMultilevel"/>
    <w:tmpl w:val="556C921C"/>
    <w:lvl w:ilvl="0" w:tplc="1484945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717629"/>
    <w:multiLevelType w:val="hybridMultilevel"/>
    <w:tmpl w:val="CDCCB64E"/>
    <w:lvl w:ilvl="0" w:tplc="1C090001">
      <w:start w:val="1"/>
      <w:numFmt w:val="bullet"/>
      <w:lvlText w:val=""/>
      <w:lvlJc w:val="left"/>
      <w:pPr>
        <w:ind w:left="1780" w:hanging="360"/>
      </w:pPr>
      <w:rPr>
        <w:rFonts w:ascii="Symbol" w:hAnsi="Symbol" w:hint="default"/>
      </w:rPr>
    </w:lvl>
    <w:lvl w:ilvl="1" w:tplc="1C090003">
      <w:start w:val="1"/>
      <w:numFmt w:val="bullet"/>
      <w:lvlText w:val="o"/>
      <w:lvlJc w:val="left"/>
      <w:pPr>
        <w:ind w:left="2500" w:hanging="360"/>
      </w:pPr>
      <w:rPr>
        <w:rFonts w:ascii="Courier New" w:hAnsi="Courier New" w:cs="Courier New" w:hint="default"/>
      </w:rPr>
    </w:lvl>
    <w:lvl w:ilvl="2" w:tplc="1C090005">
      <w:start w:val="1"/>
      <w:numFmt w:val="bullet"/>
      <w:lvlText w:val=""/>
      <w:lvlJc w:val="left"/>
      <w:pPr>
        <w:ind w:left="3220" w:hanging="360"/>
      </w:pPr>
      <w:rPr>
        <w:rFonts w:ascii="Wingdings" w:hAnsi="Wingdings" w:hint="default"/>
      </w:rPr>
    </w:lvl>
    <w:lvl w:ilvl="3" w:tplc="1C090001">
      <w:start w:val="1"/>
      <w:numFmt w:val="bullet"/>
      <w:lvlText w:val=""/>
      <w:lvlJc w:val="left"/>
      <w:pPr>
        <w:ind w:left="3940" w:hanging="360"/>
      </w:pPr>
      <w:rPr>
        <w:rFonts w:ascii="Symbol" w:hAnsi="Symbol" w:hint="default"/>
      </w:rPr>
    </w:lvl>
    <w:lvl w:ilvl="4" w:tplc="1C090003">
      <w:start w:val="1"/>
      <w:numFmt w:val="bullet"/>
      <w:lvlText w:val="o"/>
      <w:lvlJc w:val="left"/>
      <w:pPr>
        <w:ind w:left="4660" w:hanging="360"/>
      </w:pPr>
      <w:rPr>
        <w:rFonts w:ascii="Courier New" w:hAnsi="Courier New" w:cs="Courier New" w:hint="default"/>
      </w:rPr>
    </w:lvl>
    <w:lvl w:ilvl="5" w:tplc="1C090005">
      <w:start w:val="1"/>
      <w:numFmt w:val="bullet"/>
      <w:lvlText w:val=""/>
      <w:lvlJc w:val="left"/>
      <w:pPr>
        <w:ind w:left="5380" w:hanging="360"/>
      </w:pPr>
      <w:rPr>
        <w:rFonts w:ascii="Wingdings" w:hAnsi="Wingdings" w:hint="default"/>
      </w:rPr>
    </w:lvl>
    <w:lvl w:ilvl="6" w:tplc="1C090001">
      <w:start w:val="1"/>
      <w:numFmt w:val="bullet"/>
      <w:lvlText w:val=""/>
      <w:lvlJc w:val="left"/>
      <w:pPr>
        <w:ind w:left="6100" w:hanging="360"/>
      </w:pPr>
      <w:rPr>
        <w:rFonts w:ascii="Symbol" w:hAnsi="Symbol" w:hint="default"/>
      </w:rPr>
    </w:lvl>
    <w:lvl w:ilvl="7" w:tplc="1C090003">
      <w:start w:val="1"/>
      <w:numFmt w:val="bullet"/>
      <w:lvlText w:val="o"/>
      <w:lvlJc w:val="left"/>
      <w:pPr>
        <w:ind w:left="6820" w:hanging="360"/>
      </w:pPr>
      <w:rPr>
        <w:rFonts w:ascii="Courier New" w:hAnsi="Courier New" w:cs="Courier New" w:hint="default"/>
      </w:rPr>
    </w:lvl>
    <w:lvl w:ilvl="8" w:tplc="1C090005">
      <w:start w:val="1"/>
      <w:numFmt w:val="bullet"/>
      <w:lvlText w:val=""/>
      <w:lvlJc w:val="left"/>
      <w:pPr>
        <w:ind w:left="7540" w:hanging="360"/>
      </w:pPr>
      <w:rPr>
        <w:rFonts w:ascii="Wingdings" w:hAnsi="Wingdings" w:hint="default"/>
      </w:rPr>
    </w:lvl>
  </w:abstractNum>
  <w:abstractNum w:abstractNumId="10">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8">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nsid w:val="4332184F"/>
    <w:multiLevelType w:val="hybridMultilevel"/>
    <w:tmpl w:val="B2DC39DE"/>
    <w:lvl w:ilvl="0" w:tplc="A108353C">
      <w:start w:val="2"/>
      <w:numFmt w:val="decimal"/>
      <w:lvlText w:val="(%1)"/>
      <w:lvlJc w:val="left"/>
      <w:pPr>
        <w:ind w:left="2220" w:hanging="4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8">
    <w:nsid w:val="4DB14A45"/>
    <w:multiLevelType w:val="hybridMultilevel"/>
    <w:tmpl w:val="B2D637A4"/>
    <w:lvl w:ilvl="0" w:tplc="6B86716C">
      <w:numFmt w:val="bullet"/>
      <w:lvlText w:val="-"/>
      <w:lvlJc w:val="left"/>
      <w:pPr>
        <w:ind w:left="2064" w:hanging="360"/>
      </w:pPr>
      <w:rPr>
        <w:rFonts w:ascii="Tahoma" w:eastAsia="Calibri" w:hAnsi="Tahoma" w:cs="Tahoma" w:hint="default"/>
      </w:rPr>
    </w:lvl>
    <w:lvl w:ilvl="1" w:tplc="1C090003">
      <w:start w:val="1"/>
      <w:numFmt w:val="bullet"/>
      <w:lvlText w:val="o"/>
      <w:lvlJc w:val="left"/>
      <w:pPr>
        <w:ind w:left="2784" w:hanging="360"/>
      </w:pPr>
      <w:rPr>
        <w:rFonts w:ascii="Courier New" w:hAnsi="Courier New" w:cs="Courier New" w:hint="default"/>
      </w:rPr>
    </w:lvl>
    <w:lvl w:ilvl="2" w:tplc="1C090005">
      <w:start w:val="1"/>
      <w:numFmt w:val="bullet"/>
      <w:lvlText w:val=""/>
      <w:lvlJc w:val="left"/>
      <w:pPr>
        <w:ind w:left="3504" w:hanging="360"/>
      </w:pPr>
      <w:rPr>
        <w:rFonts w:ascii="Wingdings" w:hAnsi="Wingdings" w:hint="default"/>
      </w:rPr>
    </w:lvl>
    <w:lvl w:ilvl="3" w:tplc="1C090001">
      <w:start w:val="1"/>
      <w:numFmt w:val="bullet"/>
      <w:lvlText w:val=""/>
      <w:lvlJc w:val="left"/>
      <w:pPr>
        <w:ind w:left="4224" w:hanging="360"/>
      </w:pPr>
      <w:rPr>
        <w:rFonts w:ascii="Symbol" w:hAnsi="Symbol" w:hint="default"/>
      </w:rPr>
    </w:lvl>
    <w:lvl w:ilvl="4" w:tplc="1C090003">
      <w:start w:val="1"/>
      <w:numFmt w:val="bullet"/>
      <w:lvlText w:val="o"/>
      <w:lvlJc w:val="left"/>
      <w:pPr>
        <w:ind w:left="4944" w:hanging="360"/>
      </w:pPr>
      <w:rPr>
        <w:rFonts w:ascii="Courier New" w:hAnsi="Courier New" w:cs="Courier New" w:hint="default"/>
      </w:rPr>
    </w:lvl>
    <w:lvl w:ilvl="5" w:tplc="1C090005">
      <w:start w:val="1"/>
      <w:numFmt w:val="bullet"/>
      <w:lvlText w:val=""/>
      <w:lvlJc w:val="left"/>
      <w:pPr>
        <w:ind w:left="5664" w:hanging="360"/>
      </w:pPr>
      <w:rPr>
        <w:rFonts w:ascii="Wingdings" w:hAnsi="Wingdings" w:hint="default"/>
      </w:rPr>
    </w:lvl>
    <w:lvl w:ilvl="6" w:tplc="1C090001">
      <w:start w:val="1"/>
      <w:numFmt w:val="bullet"/>
      <w:lvlText w:val=""/>
      <w:lvlJc w:val="left"/>
      <w:pPr>
        <w:ind w:left="6384" w:hanging="360"/>
      </w:pPr>
      <w:rPr>
        <w:rFonts w:ascii="Symbol" w:hAnsi="Symbol" w:hint="default"/>
      </w:rPr>
    </w:lvl>
    <w:lvl w:ilvl="7" w:tplc="1C090003">
      <w:start w:val="1"/>
      <w:numFmt w:val="bullet"/>
      <w:lvlText w:val="o"/>
      <w:lvlJc w:val="left"/>
      <w:pPr>
        <w:ind w:left="7104" w:hanging="360"/>
      </w:pPr>
      <w:rPr>
        <w:rFonts w:ascii="Courier New" w:hAnsi="Courier New" w:cs="Courier New" w:hint="default"/>
      </w:rPr>
    </w:lvl>
    <w:lvl w:ilvl="8" w:tplc="1C090005">
      <w:start w:val="1"/>
      <w:numFmt w:val="bullet"/>
      <w:lvlText w:val=""/>
      <w:lvlJc w:val="left"/>
      <w:pPr>
        <w:ind w:left="7824" w:hanging="360"/>
      </w:pPr>
      <w:rPr>
        <w:rFonts w:ascii="Wingdings" w:hAnsi="Wingdings" w:hint="default"/>
      </w:rPr>
    </w:lvl>
  </w:abstractNum>
  <w:abstractNum w:abstractNumId="2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0">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6655A"/>
    <w:multiLevelType w:val="hybridMultilevel"/>
    <w:tmpl w:val="0EBEEAB6"/>
    <w:lvl w:ilvl="0" w:tplc="50DEA5F4">
      <w:start w:val="1"/>
      <w:numFmt w:val="lowerLetter"/>
      <w:lvlText w:val="(%1)"/>
      <w:lvlJc w:val="left"/>
      <w:pPr>
        <w:ind w:left="1080" w:hanging="72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4">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F4F9F"/>
    <w:multiLevelType w:val="hybridMultilevel"/>
    <w:tmpl w:val="7AB297DA"/>
    <w:lvl w:ilvl="0" w:tplc="1C090001">
      <w:start w:val="1"/>
      <w:numFmt w:val="bullet"/>
      <w:lvlText w:val=""/>
      <w:lvlJc w:val="left"/>
      <w:pPr>
        <w:ind w:left="1912" w:hanging="360"/>
      </w:pPr>
      <w:rPr>
        <w:rFonts w:ascii="Symbol" w:hAnsi="Symbol" w:hint="default"/>
      </w:rPr>
    </w:lvl>
    <w:lvl w:ilvl="1" w:tplc="1C090003">
      <w:start w:val="1"/>
      <w:numFmt w:val="bullet"/>
      <w:lvlText w:val="o"/>
      <w:lvlJc w:val="left"/>
      <w:pPr>
        <w:ind w:left="2632" w:hanging="360"/>
      </w:pPr>
      <w:rPr>
        <w:rFonts w:ascii="Courier New" w:hAnsi="Courier New" w:cs="Courier New" w:hint="default"/>
      </w:rPr>
    </w:lvl>
    <w:lvl w:ilvl="2" w:tplc="1C090005">
      <w:start w:val="1"/>
      <w:numFmt w:val="bullet"/>
      <w:lvlText w:val=""/>
      <w:lvlJc w:val="left"/>
      <w:pPr>
        <w:ind w:left="3352" w:hanging="360"/>
      </w:pPr>
      <w:rPr>
        <w:rFonts w:ascii="Wingdings" w:hAnsi="Wingdings" w:hint="default"/>
      </w:rPr>
    </w:lvl>
    <w:lvl w:ilvl="3" w:tplc="1C090001">
      <w:start w:val="1"/>
      <w:numFmt w:val="bullet"/>
      <w:lvlText w:val=""/>
      <w:lvlJc w:val="left"/>
      <w:pPr>
        <w:ind w:left="4072" w:hanging="360"/>
      </w:pPr>
      <w:rPr>
        <w:rFonts w:ascii="Symbol" w:hAnsi="Symbol" w:hint="default"/>
      </w:rPr>
    </w:lvl>
    <w:lvl w:ilvl="4" w:tplc="1C090003">
      <w:start w:val="1"/>
      <w:numFmt w:val="bullet"/>
      <w:lvlText w:val="o"/>
      <w:lvlJc w:val="left"/>
      <w:pPr>
        <w:ind w:left="4792" w:hanging="360"/>
      </w:pPr>
      <w:rPr>
        <w:rFonts w:ascii="Courier New" w:hAnsi="Courier New" w:cs="Courier New" w:hint="default"/>
      </w:rPr>
    </w:lvl>
    <w:lvl w:ilvl="5" w:tplc="1C090005">
      <w:start w:val="1"/>
      <w:numFmt w:val="bullet"/>
      <w:lvlText w:val=""/>
      <w:lvlJc w:val="left"/>
      <w:pPr>
        <w:ind w:left="5512" w:hanging="360"/>
      </w:pPr>
      <w:rPr>
        <w:rFonts w:ascii="Wingdings" w:hAnsi="Wingdings" w:hint="default"/>
      </w:rPr>
    </w:lvl>
    <w:lvl w:ilvl="6" w:tplc="1C090001">
      <w:start w:val="1"/>
      <w:numFmt w:val="bullet"/>
      <w:lvlText w:val=""/>
      <w:lvlJc w:val="left"/>
      <w:pPr>
        <w:ind w:left="6232" w:hanging="360"/>
      </w:pPr>
      <w:rPr>
        <w:rFonts w:ascii="Symbol" w:hAnsi="Symbol" w:hint="default"/>
      </w:rPr>
    </w:lvl>
    <w:lvl w:ilvl="7" w:tplc="1C090003">
      <w:start w:val="1"/>
      <w:numFmt w:val="bullet"/>
      <w:lvlText w:val="o"/>
      <w:lvlJc w:val="left"/>
      <w:pPr>
        <w:ind w:left="6952" w:hanging="360"/>
      </w:pPr>
      <w:rPr>
        <w:rFonts w:ascii="Courier New" w:hAnsi="Courier New" w:cs="Courier New" w:hint="default"/>
      </w:rPr>
    </w:lvl>
    <w:lvl w:ilvl="8" w:tplc="1C090005">
      <w:start w:val="1"/>
      <w:numFmt w:val="bullet"/>
      <w:lvlText w:val=""/>
      <w:lvlJc w:val="left"/>
      <w:pPr>
        <w:ind w:left="7672" w:hanging="360"/>
      </w:pPr>
      <w:rPr>
        <w:rFonts w:ascii="Wingdings" w:hAnsi="Wingdings" w:hint="default"/>
      </w:rPr>
    </w:lvl>
  </w:abstractNum>
  <w:abstractNum w:abstractNumId="37">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A81232"/>
    <w:multiLevelType w:val="hybridMultilevel"/>
    <w:tmpl w:val="853480EA"/>
    <w:lvl w:ilvl="0" w:tplc="9C7A7C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1"/>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5"/>
  </w:num>
  <w:num w:numId="9">
    <w:abstractNumId w:val="14"/>
  </w:num>
  <w:num w:numId="10">
    <w:abstractNumId w:val="21"/>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6"/>
  </w:num>
  <w:num w:numId="16">
    <w:abstractNumId w:val="10"/>
  </w:num>
  <w:num w:numId="17">
    <w:abstractNumId w:val="15"/>
  </w:num>
  <w:num w:numId="18">
    <w:abstractNumId w:val="41"/>
  </w:num>
  <w:num w:numId="19">
    <w:abstractNumId w:val="33"/>
  </w:num>
  <w:num w:numId="20">
    <w:abstractNumId w:val="12"/>
  </w:num>
  <w:num w:numId="21">
    <w:abstractNumId w:val="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1"/>
  </w:num>
  <w:num w:numId="26">
    <w:abstractNumId w:val="8"/>
  </w:num>
  <w:num w:numId="27">
    <w:abstractNumId w:val="37"/>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lvlOverride w:ilvl="3"/>
    <w:lvlOverride w:ilvl="4"/>
    <w:lvlOverride w:ilvl="5"/>
    <w:lvlOverride w:ilvl="6"/>
    <w:lvlOverride w:ilvl="7"/>
    <w:lvlOverride w:ilvl="8"/>
  </w:num>
  <w:num w:numId="31">
    <w:abstractNumId w:val="38"/>
  </w:num>
  <w:num w:numId="32">
    <w:abstractNumId w:val="39"/>
  </w:num>
  <w:num w:numId="33">
    <w:abstractNumId w:val="3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lvlOverride w:ilvl="3"/>
    <w:lvlOverride w:ilvl="4"/>
    <w:lvlOverride w:ilvl="5"/>
    <w:lvlOverride w:ilvl="6"/>
    <w:lvlOverride w:ilvl="7"/>
    <w:lvlOverride w:ilvl="8"/>
  </w:num>
  <w:num w:numId="36">
    <w:abstractNumId w:val="36"/>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2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036B"/>
    <w:rsid w:val="000761C1"/>
    <w:rsid w:val="00082DF7"/>
    <w:rsid w:val="0008722C"/>
    <w:rsid w:val="00091D05"/>
    <w:rsid w:val="00092B16"/>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36EA"/>
    <w:rsid w:val="0010539F"/>
    <w:rsid w:val="00110F08"/>
    <w:rsid w:val="00121003"/>
    <w:rsid w:val="00143667"/>
    <w:rsid w:val="001465A8"/>
    <w:rsid w:val="00154917"/>
    <w:rsid w:val="001617C6"/>
    <w:rsid w:val="00167459"/>
    <w:rsid w:val="001740EB"/>
    <w:rsid w:val="001768FA"/>
    <w:rsid w:val="00180887"/>
    <w:rsid w:val="00181A85"/>
    <w:rsid w:val="001824E2"/>
    <w:rsid w:val="001835A6"/>
    <w:rsid w:val="00187074"/>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B6C"/>
    <w:rsid w:val="003022B2"/>
    <w:rsid w:val="00304D24"/>
    <w:rsid w:val="00335B3C"/>
    <w:rsid w:val="00344369"/>
    <w:rsid w:val="003502E6"/>
    <w:rsid w:val="00363591"/>
    <w:rsid w:val="00375892"/>
    <w:rsid w:val="003828D9"/>
    <w:rsid w:val="00391A7C"/>
    <w:rsid w:val="0039441D"/>
    <w:rsid w:val="00397F90"/>
    <w:rsid w:val="003A0568"/>
    <w:rsid w:val="003A4B64"/>
    <w:rsid w:val="003A7F30"/>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28B"/>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367C"/>
    <w:rsid w:val="00634841"/>
    <w:rsid w:val="00643BA9"/>
    <w:rsid w:val="00646059"/>
    <w:rsid w:val="006503D1"/>
    <w:rsid w:val="00651AA3"/>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521"/>
    <w:rsid w:val="00712883"/>
    <w:rsid w:val="00715963"/>
    <w:rsid w:val="007252FF"/>
    <w:rsid w:val="00736012"/>
    <w:rsid w:val="007409DE"/>
    <w:rsid w:val="00742BC6"/>
    <w:rsid w:val="00747CF6"/>
    <w:rsid w:val="007536D1"/>
    <w:rsid w:val="0075466C"/>
    <w:rsid w:val="0076173C"/>
    <w:rsid w:val="00763B2A"/>
    <w:rsid w:val="00767A5F"/>
    <w:rsid w:val="00770C6C"/>
    <w:rsid w:val="00771EE9"/>
    <w:rsid w:val="007721D8"/>
    <w:rsid w:val="007776BB"/>
    <w:rsid w:val="007821F5"/>
    <w:rsid w:val="007861CC"/>
    <w:rsid w:val="00794BA1"/>
    <w:rsid w:val="007A0033"/>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07B77"/>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91418"/>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1645"/>
    <w:rsid w:val="00C02B81"/>
    <w:rsid w:val="00C04A5B"/>
    <w:rsid w:val="00C05B52"/>
    <w:rsid w:val="00C163FA"/>
    <w:rsid w:val="00C25DBD"/>
    <w:rsid w:val="00C27ADD"/>
    <w:rsid w:val="00C33287"/>
    <w:rsid w:val="00C33AC7"/>
    <w:rsid w:val="00C35B67"/>
    <w:rsid w:val="00C35C85"/>
    <w:rsid w:val="00C36C5A"/>
    <w:rsid w:val="00C37C01"/>
    <w:rsid w:val="00C54C5A"/>
    <w:rsid w:val="00C673A6"/>
    <w:rsid w:val="00C76B9E"/>
    <w:rsid w:val="00C77F7A"/>
    <w:rsid w:val="00C9463B"/>
    <w:rsid w:val="00C95BA0"/>
    <w:rsid w:val="00CA19BA"/>
    <w:rsid w:val="00CB1EE9"/>
    <w:rsid w:val="00CB2028"/>
    <w:rsid w:val="00CB5861"/>
    <w:rsid w:val="00CB5C46"/>
    <w:rsid w:val="00CB74D7"/>
    <w:rsid w:val="00CD4174"/>
    <w:rsid w:val="00CD75C7"/>
    <w:rsid w:val="00CE514E"/>
    <w:rsid w:val="00CE6D28"/>
    <w:rsid w:val="00CE6DA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49"/>
    <w:rsid w:val="00DA61B8"/>
    <w:rsid w:val="00DB00DD"/>
    <w:rsid w:val="00DB2624"/>
    <w:rsid w:val="00DB49FC"/>
    <w:rsid w:val="00DB6C94"/>
    <w:rsid w:val="00DC0DD3"/>
    <w:rsid w:val="00DD247F"/>
    <w:rsid w:val="00DD305B"/>
    <w:rsid w:val="00DD58A5"/>
    <w:rsid w:val="00DE23D3"/>
    <w:rsid w:val="00DE4554"/>
    <w:rsid w:val="00DF0B46"/>
    <w:rsid w:val="00DF5BDD"/>
    <w:rsid w:val="00DF5F61"/>
    <w:rsid w:val="00DF7D97"/>
    <w:rsid w:val="00E02586"/>
    <w:rsid w:val="00E1110D"/>
    <w:rsid w:val="00E219AA"/>
    <w:rsid w:val="00E21D6C"/>
    <w:rsid w:val="00E30CC9"/>
    <w:rsid w:val="00E34EBD"/>
    <w:rsid w:val="00E34EC5"/>
    <w:rsid w:val="00E418EB"/>
    <w:rsid w:val="00E54042"/>
    <w:rsid w:val="00E5649A"/>
    <w:rsid w:val="00E569CD"/>
    <w:rsid w:val="00E65B70"/>
    <w:rsid w:val="00E671CD"/>
    <w:rsid w:val="00E72CCA"/>
    <w:rsid w:val="00E73F7A"/>
    <w:rsid w:val="00E83DB6"/>
    <w:rsid w:val="00E9248E"/>
    <w:rsid w:val="00E92965"/>
    <w:rsid w:val="00E975A1"/>
    <w:rsid w:val="00EA3573"/>
    <w:rsid w:val="00EA3DFB"/>
    <w:rsid w:val="00ED3319"/>
    <w:rsid w:val="00ED6F63"/>
    <w:rsid w:val="00EE1975"/>
    <w:rsid w:val="00EE4B89"/>
    <w:rsid w:val="00EE6168"/>
    <w:rsid w:val="00EF3F70"/>
    <w:rsid w:val="00EF5F14"/>
    <w:rsid w:val="00F0591A"/>
    <w:rsid w:val="00F169D5"/>
    <w:rsid w:val="00F24B6C"/>
    <w:rsid w:val="00F25E93"/>
    <w:rsid w:val="00F33528"/>
    <w:rsid w:val="00F37A4D"/>
    <w:rsid w:val="00F53354"/>
    <w:rsid w:val="00F544FA"/>
    <w:rsid w:val="00F65BDE"/>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110F08"/>
    <w:rPr>
      <w:rFonts w:ascii="Arial" w:hAnsi="Arial" w:cs="Arial"/>
      <w:color w:val="000000"/>
      <w:sz w:val="24"/>
      <w:szCs w:val="24"/>
      <w:lang w:val="en-US" w:eastAsia="en-US"/>
    </w:rPr>
  </w:style>
  <w:style w:type="paragraph" w:customStyle="1" w:styleId="Default">
    <w:name w:val="Default"/>
    <w:link w:val="DefaultChar"/>
    <w:rsid w:val="00110F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905726796">
      <w:bodyDiv w:val="1"/>
      <w:marLeft w:val="0"/>
      <w:marRight w:val="0"/>
      <w:marTop w:val="0"/>
      <w:marBottom w:val="0"/>
      <w:divBdr>
        <w:top w:val="none" w:sz="0" w:space="0" w:color="auto"/>
        <w:left w:val="none" w:sz="0" w:space="0" w:color="auto"/>
        <w:bottom w:val="none" w:sz="0" w:space="0" w:color="auto"/>
        <w:right w:val="none" w:sz="0" w:space="0" w:color="auto"/>
      </w:divBdr>
    </w:div>
    <w:div w:id="108796857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449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CB8A-10CD-4080-89A4-FC6A8626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2022-03-16T10:15:00Z</cp:lastPrinted>
  <dcterms:created xsi:type="dcterms:W3CDTF">2022-04-07T11:05:00Z</dcterms:created>
  <dcterms:modified xsi:type="dcterms:W3CDTF">2022-04-07T11:05:00Z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00000000ABA0F881FC66C64B80CB458AD208EE3F04B42300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