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1A1C94">
      <w:pPr>
        <w:spacing w:after="0" w:line="240" w:lineRule="auto"/>
        <w:ind w:right="630"/>
        <w:rPr>
          <w:rFonts w:ascii="Arial" w:hAnsi="Arial" w:cs="Arial"/>
          <w:b/>
          <w:sz w:val="24"/>
          <w:szCs w:val="24"/>
          <w:lang w:val="fr-FR"/>
        </w:rPr>
      </w:pPr>
      <w:bookmarkStart w:id="0" w:name="_GoBack"/>
      <w:bookmarkEnd w:id="0"/>
    </w:p>
    <w:p w:rsidR="00314530" w:rsidRPr="00BF349B" w:rsidRDefault="00314530" w:rsidP="001A1C94">
      <w:pPr>
        <w:spacing w:after="0" w:line="240" w:lineRule="auto"/>
        <w:ind w:right="630"/>
        <w:jc w:val="both"/>
        <w:rPr>
          <w:rFonts w:ascii="Arial" w:hAnsi="Arial" w:cs="Arial"/>
          <w:sz w:val="24"/>
          <w:szCs w:val="24"/>
        </w:rPr>
      </w:pPr>
    </w:p>
    <w:p w:rsidR="00B4715B" w:rsidRDefault="00732AD7" w:rsidP="001A1C94">
      <w:pPr>
        <w:pStyle w:val="Heading6"/>
        <w:spacing w:line="480" w:lineRule="auto"/>
        <w:ind w:right="63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Assembly</w:t>
      </w:r>
    </w:p>
    <w:p w:rsidR="000C4E7E" w:rsidRDefault="00065792" w:rsidP="001A1C94">
      <w:pPr>
        <w:pStyle w:val="Heading6"/>
        <w:spacing w:line="480" w:lineRule="auto"/>
        <w:ind w:right="630"/>
        <w:rPr>
          <w:rFonts w:cs="Arial"/>
          <w:sz w:val="22"/>
          <w:szCs w:val="22"/>
          <w:u w:val="none"/>
          <w:lang w:val="en-ZA"/>
        </w:rPr>
      </w:pPr>
      <w:r>
        <w:rPr>
          <w:rFonts w:cs="Arial"/>
          <w:sz w:val="22"/>
          <w:szCs w:val="22"/>
          <w:u w:val="none"/>
          <w:lang w:val="en-ZA"/>
        </w:rPr>
        <w:t xml:space="preserve"> </w:t>
      </w:r>
      <w:r w:rsidR="00D17CEF" w:rsidRPr="000C4E7E">
        <w:rPr>
          <w:rFonts w:cs="Arial"/>
          <w:sz w:val="22"/>
          <w:szCs w:val="22"/>
          <w:u w:val="none"/>
          <w:lang w:val="en-ZA"/>
        </w:rPr>
        <w:t xml:space="preserve">Question No: </w:t>
      </w:r>
      <w:r w:rsidR="00242E6C">
        <w:rPr>
          <w:rFonts w:cs="Arial"/>
          <w:sz w:val="22"/>
          <w:szCs w:val="22"/>
          <w:u w:val="none"/>
          <w:lang w:val="en-ZA"/>
        </w:rPr>
        <w:t>651</w:t>
      </w:r>
    </w:p>
    <w:p w:rsidR="00242E6C" w:rsidRPr="00242E6C" w:rsidRDefault="00242E6C" w:rsidP="001A1C94">
      <w:pPr>
        <w:spacing w:before="100" w:beforeAutospacing="1" w:after="100" w:afterAutospacing="1" w:line="240" w:lineRule="auto"/>
        <w:ind w:left="720" w:right="630" w:hanging="720"/>
        <w:jc w:val="both"/>
        <w:rPr>
          <w:rFonts w:ascii="Arial" w:hAnsi="Arial" w:cs="Arial"/>
          <w:b/>
        </w:rPr>
      </w:pPr>
      <w:r w:rsidRPr="00242E6C">
        <w:rPr>
          <w:rFonts w:ascii="Arial" w:hAnsi="Arial" w:cs="Arial"/>
          <w:b/>
        </w:rPr>
        <w:t>651.</w:t>
      </w:r>
      <w:r w:rsidRPr="00242E6C">
        <w:rPr>
          <w:rFonts w:ascii="Arial" w:hAnsi="Arial" w:cs="Arial"/>
          <w:b/>
        </w:rPr>
        <w:tab/>
      </w:r>
      <w:proofErr w:type="spellStart"/>
      <w:r w:rsidRPr="00242E6C">
        <w:rPr>
          <w:rFonts w:ascii="Arial" w:hAnsi="Arial" w:cs="Arial"/>
          <w:b/>
        </w:rPr>
        <w:t>Mr</w:t>
      </w:r>
      <w:proofErr w:type="spellEnd"/>
      <w:r w:rsidRPr="00242E6C">
        <w:rPr>
          <w:rFonts w:ascii="Arial" w:hAnsi="Arial" w:cs="Arial"/>
          <w:b/>
        </w:rPr>
        <w:t xml:space="preserve"> C H </w:t>
      </w:r>
      <w:proofErr w:type="spellStart"/>
      <w:r w:rsidRPr="00242E6C">
        <w:rPr>
          <w:rFonts w:ascii="Arial" w:hAnsi="Arial" w:cs="Arial"/>
          <w:b/>
        </w:rPr>
        <w:t>H</w:t>
      </w:r>
      <w:proofErr w:type="spellEnd"/>
      <w:r w:rsidRPr="00242E6C">
        <w:rPr>
          <w:rFonts w:ascii="Arial" w:hAnsi="Arial" w:cs="Arial"/>
          <w:b/>
        </w:rPr>
        <w:t xml:space="preserve"> </w:t>
      </w:r>
      <w:proofErr w:type="spellStart"/>
      <w:r w:rsidRPr="00242E6C">
        <w:rPr>
          <w:rFonts w:ascii="Arial" w:hAnsi="Arial" w:cs="Arial"/>
          <w:b/>
        </w:rPr>
        <w:t>Hunsinger</w:t>
      </w:r>
      <w:proofErr w:type="spellEnd"/>
      <w:r w:rsidRPr="00242E6C">
        <w:rPr>
          <w:rFonts w:ascii="Arial" w:hAnsi="Arial" w:cs="Arial"/>
          <w:b/>
        </w:rPr>
        <w:t xml:space="preserve"> (DA) to ask the Minister of Transport:</w:t>
      </w:r>
    </w:p>
    <w:p w:rsidR="00242E6C" w:rsidRPr="00242E6C" w:rsidRDefault="00242E6C" w:rsidP="001A1C94">
      <w:pPr>
        <w:spacing w:before="100" w:beforeAutospacing="1" w:after="100" w:afterAutospacing="1" w:line="240" w:lineRule="auto"/>
        <w:ind w:left="720" w:right="630"/>
        <w:jc w:val="both"/>
        <w:rPr>
          <w:rFonts w:ascii="Arial" w:hAnsi="Arial" w:cs="Arial"/>
        </w:rPr>
      </w:pPr>
      <w:r w:rsidRPr="00242E6C">
        <w:rPr>
          <w:rFonts w:ascii="Arial" w:hAnsi="Arial" w:cs="Arial"/>
        </w:rPr>
        <w:t>(a) What (</w:t>
      </w:r>
      <w:proofErr w:type="spellStart"/>
      <w:r w:rsidRPr="00242E6C">
        <w:rPr>
          <w:rFonts w:ascii="Arial" w:hAnsi="Arial" w:cs="Arial"/>
        </w:rPr>
        <w:t>i</w:t>
      </w:r>
      <w:proofErr w:type="spellEnd"/>
      <w:r w:rsidRPr="00242E6C">
        <w:rPr>
          <w:rFonts w:ascii="Arial" w:hAnsi="Arial" w:cs="Arial"/>
        </w:rPr>
        <w:t>) did the investigation of the Gautrain by the Railway Safety Regulator in February 2017 reveal, (ii) are the terms of reference of the board of inquiry into this incident and (iii) (aa) are the start and (bb) termination dates of this inquiry, (b) who will serve on the board of inquiry and (c) how was each member of the board selected?</w:t>
      </w:r>
      <w:r w:rsidRPr="00242E6C">
        <w:rPr>
          <w:rFonts w:ascii="Arial" w:hAnsi="Arial" w:cs="Arial"/>
        </w:rPr>
        <w:tab/>
      </w:r>
      <w:r w:rsidRPr="00242E6C">
        <w:rPr>
          <w:rFonts w:ascii="Arial" w:hAnsi="Arial" w:cs="Arial"/>
        </w:rPr>
        <w:tab/>
      </w:r>
      <w:r w:rsidRPr="00242E6C">
        <w:rPr>
          <w:rFonts w:ascii="Arial" w:hAnsi="Arial" w:cs="Arial"/>
        </w:rPr>
        <w:tab/>
      </w:r>
      <w:r w:rsidRPr="00242E6C">
        <w:rPr>
          <w:rFonts w:ascii="Arial" w:hAnsi="Arial" w:cs="Arial"/>
        </w:rPr>
        <w:tab/>
      </w:r>
      <w:r w:rsidRPr="00242E6C">
        <w:rPr>
          <w:rFonts w:ascii="Arial" w:hAnsi="Arial" w:cs="Arial"/>
        </w:rPr>
        <w:tab/>
      </w:r>
      <w:r w:rsidRPr="00242E6C">
        <w:rPr>
          <w:rFonts w:ascii="Arial" w:hAnsi="Arial" w:cs="Arial"/>
        </w:rPr>
        <w:tab/>
      </w:r>
      <w:r w:rsidRPr="00242E6C">
        <w:rPr>
          <w:rFonts w:ascii="Arial" w:hAnsi="Arial" w:cs="Arial"/>
        </w:rPr>
        <w:tab/>
      </w:r>
      <w:r w:rsidRPr="00242E6C">
        <w:rPr>
          <w:rFonts w:ascii="Arial" w:hAnsi="Arial" w:cs="Arial"/>
        </w:rPr>
        <w:tab/>
      </w:r>
      <w:r w:rsidRPr="00242E6C">
        <w:rPr>
          <w:rFonts w:ascii="Arial" w:hAnsi="Arial" w:cs="Arial"/>
        </w:rPr>
        <w:tab/>
      </w:r>
      <w:r w:rsidRPr="00242E6C">
        <w:rPr>
          <w:rFonts w:ascii="Arial" w:hAnsi="Arial" w:cs="Arial"/>
        </w:rPr>
        <w:tab/>
        <w:t>NW710E</w:t>
      </w:r>
    </w:p>
    <w:p w:rsidR="001A1C94" w:rsidRDefault="001A1C94" w:rsidP="001A1C94">
      <w:pPr>
        <w:pStyle w:val="Default"/>
        <w:ind w:right="630"/>
      </w:pPr>
    </w:p>
    <w:p w:rsidR="001A1C94" w:rsidRDefault="001A1C94" w:rsidP="001A1C94">
      <w:pPr>
        <w:pStyle w:val="Default"/>
        <w:ind w:left="720" w:right="630" w:hanging="720"/>
        <w:jc w:val="both"/>
        <w:rPr>
          <w:sz w:val="22"/>
          <w:szCs w:val="22"/>
        </w:rPr>
      </w:pPr>
      <w:r>
        <w:rPr>
          <w:sz w:val="22"/>
          <w:szCs w:val="22"/>
        </w:rPr>
        <w:t>a) (</w:t>
      </w:r>
      <w:proofErr w:type="spellStart"/>
      <w:proofErr w:type="gramStart"/>
      <w:r>
        <w:rPr>
          <w:sz w:val="22"/>
          <w:szCs w:val="22"/>
        </w:rPr>
        <w:t>i</w:t>
      </w:r>
      <w:proofErr w:type="spellEnd"/>
      <w:proofErr w:type="gramEnd"/>
      <w:r>
        <w:rPr>
          <w:sz w:val="22"/>
          <w:szCs w:val="22"/>
        </w:rPr>
        <w:t>)</w:t>
      </w:r>
      <w:r>
        <w:rPr>
          <w:sz w:val="22"/>
          <w:szCs w:val="22"/>
        </w:rPr>
        <w:tab/>
        <w:t>The preliminary investigations found that the points which guide the train movement were not completely closed for safe passage of trains. The Board of Inquiry (BOI) into this accident will further probe the matter and identify the underlying causes.</w:t>
      </w:r>
    </w:p>
    <w:p w:rsidR="001A1C94" w:rsidRDefault="001A1C94" w:rsidP="001A1C94">
      <w:pPr>
        <w:pStyle w:val="Default"/>
        <w:ind w:left="720" w:right="630" w:hanging="720"/>
        <w:jc w:val="both"/>
        <w:rPr>
          <w:sz w:val="22"/>
          <w:szCs w:val="22"/>
        </w:rPr>
      </w:pPr>
    </w:p>
    <w:p w:rsidR="001A1C94" w:rsidRDefault="001A1C94" w:rsidP="001A1C94">
      <w:pPr>
        <w:pStyle w:val="Default"/>
        <w:ind w:left="720" w:right="630" w:hanging="450"/>
        <w:jc w:val="both"/>
        <w:rPr>
          <w:sz w:val="22"/>
          <w:szCs w:val="22"/>
        </w:rPr>
      </w:pPr>
      <w:r>
        <w:rPr>
          <w:sz w:val="22"/>
          <w:szCs w:val="22"/>
        </w:rPr>
        <w:t>(ii)</w:t>
      </w:r>
      <w:r w:rsidR="00C15A54">
        <w:rPr>
          <w:sz w:val="22"/>
          <w:szCs w:val="22"/>
        </w:rPr>
        <w:tab/>
      </w:r>
      <w:r>
        <w:rPr>
          <w:sz w:val="22"/>
          <w:szCs w:val="22"/>
        </w:rPr>
        <w:t>The BOI is mandated to investigate amongst other things, the following:</w:t>
      </w:r>
    </w:p>
    <w:p w:rsidR="001A1C94" w:rsidRDefault="001A1C94" w:rsidP="001A1C94">
      <w:pPr>
        <w:pStyle w:val="Default"/>
        <w:ind w:left="720" w:right="630" w:hanging="450"/>
        <w:jc w:val="both"/>
        <w:rPr>
          <w:sz w:val="22"/>
          <w:szCs w:val="22"/>
        </w:rPr>
      </w:pPr>
      <w:r>
        <w:rPr>
          <w:sz w:val="22"/>
          <w:szCs w:val="22"/>
        </w:rPr>
        <w:t xml:space="preserve"> </w:t>
      </w:r>
    </w:p>
    <w:p w:rsidR="001A1C94" w:rsidRDefault="001A1C94" w:rsidP="001A1C94">
      <w:pPr>
        <w:pStyle w:val="Default"/>
        <w:numPr>
          <w:ilvl w:val="0"/>
          <w:numId w:val="9"/>
        </w:numPr>
        <w:spacing w:after="66"/>
        <w:ind w:left="900" w:right="630"/>
        <w:jc w:val="both"/>
        <w:rPr>
          <w:sz w:val="22"/>
          <w:szCs w:val="22"/>
        </w:rPr>
      </w:pPr>
      <w:r>
        <w:rPr>
          <w:sz w:val="22"/>
          <w:szCs w:val="22"/>
        </w:rPr>
        <w:t>The immediate and root/underlying causes leading up to and surrounding the incident,</w:t>
      </w:r>
    </w:p>
    <w:p w:rsidR="001A1C94" w:rsidRDefault="001A1C94" w:rsidP="001A1C94">
      <w:pPr>
        <w:pStyle w:val="Default"/>
        <w:numPr>
          <w:ilvl w:val="0"/>
          <w:numId w:val="9"/>
        </w:numPr>
        <w:spacing w:after="66"/>
        <w:ind w:left="900" w:right="630"/>
        <w:jc w:val="both"/>
        <w:rPr>
          <w:sz w:val="22"/>
          <w:szCs w:val="22"/>
        </w:rPr>
      </w:pPr>
      <w:r w:rsidRPr="001A1C94">
        <w:rPr>
          <w:sz w:val="22"/>
          <w:szCs w:val="22"/>
        </w:rPr>
        <w:t xml:space="preserve">The adequacy, effectiveness and personnel knowledge of the relevant procedures and training background regarding activities pertaining to adherence to, specifically applicable train operating procedures by the train drivers and the </w:t>
      </w:r>
      <w:r>
        <w:rPr>
          <w:sz w:val="22"/>
          <w:szCs w:val="22"/>
        </w:rPr>
        <w:t>T</w:t>
      </w:r>
      <w:r w:rsidRPr="001A1C94">
        <w:rPr>
          <w:sz w:val="22"/>
          <w:szCs w:val="22"/>
        </w:rPr>
        <w:t xml:space="preserve">rain </w:t>
      </w:r>
      <w:r>
        <w:rPr>
          <w:sz w:val="22"/>
          <w:szCs w:val="22"/>
        </w:rPr>
        <w:t>C</w:t>
      </w:r>
      <w:r w:rsidRPr="001A1C94">
        <w:rPr>
          <w:sz w:val="22"/>
          <w:szCs w:val="22"/>
        </w:rPr>
        <w:t xml:space="preserve">ontrol </w:t>
      </w:r>
      <w:r>
        <w:rPr>
          <w:sz w:val="22"/>
          <w:szCs w:val="22"/>
        </w:rPr>
        <w:t>O</w:t>
      </w:r>
      <w:r w:rsidRPr="001A1C94">
        <w:rPr>
          <w:sz w:val="22"/>
          <w:szCs w:val="22"/>
        </w:rPr>
        <w:t>fficer (TCO) concerned as set out in local instructions, General Appendix and other applicable directive</w:t>
      </w:r>
      <w:r>
        <w:rPr>
          <w:sz w:val="22"/>
          <w:szCs w:val="22"/>
        </w:rPr>
        <w:t>s,</w:t>
      </w:r>
    </w:p>
    <w:p w:rsidR="001A1C94" w:rsidRDefault="001A1C94" w:rsidP="001A1C94">
      <w:pPr>
        <w:pStyle w:val="Default"/>
        <w:numPr>
          <w:ilvl w:val="0"/>
          <w:numId w:val="9"/>
        </w:numPr>
        <w:spacing w:after="66"/>
        <w:ind w:left="900" w:right="630"/>
        <w:jc w:val="both"/>
        <w:rPr>
          <w:sz w:val="22"/>
          <w:szCs w:val="22"/>
        </w:rPr>
      </w:pPr>
      <w:r w:rsidRPr="001A1C94">
        <w:rPr>
          <w:sz w:val="22"/>
          <w:szCs w:val="22"/>
        </w:rPr>
        <w:t>The activation, execution and management of the emergency and clearing up process as set out in local contingency</w:t>
      </w:r>
      <w:r>
        <w:rPr>
          <w:sz w:val="22"/>
          <w:szCs w:val="22"/>
        </w:rPr>
        <w:t xml:space="preserve"> plans and relevant directives,</w:t>
      </w:r>
    </w:p>
    <w:p w:rsidR="001A1C94" w:rsidRDefault="001A1C94" w:rsidP="001A1C94">
      <w:pPr>
        <w:pStyle w:val="Default"/>
        <w:numPr>
          <w:ilvl w:val="0"/>
          <w:numId w:val="9"/>
        </w:numPr>
        <w:spacing w:after="66"/>
        <w:ind w:left="900" w:right="630"/>
        <w:jc w:val="both"/>
        <w:rPr>
          <w:sz w:val="22"/>
          <w:szCs w:val="22"/>
        </w:rPr>
      </w:pPr>
      <w:r w:rsidRPr="001A1C94">
        <w:rPr>
          <w:sz w:val="22"/>
          <w:szCs w:val="22"/>
        </w:rPr>
        <w:t>The adequacy and effectiveness of maintenance systems and proc</w:t>
      </w:r>
      <w:r>
        <w:rPr>
          <w:sz w:val="22"/>
          <w:szCs w:val="22"/>
        </w:rPr>
        <w:t xml:space="preserve">edures for </w:t>
      </w:r>
      <w:proofErr w:type="spellStart"/>
      <w:r>
        <w:rPr>
          <w:sz w:val="22"/>
          <w:szCs w:val="22"/>
        </w:rPr>
        <w:t>perway</w:t>
      </w:r>
      <w:proofErr w:type="spellEnd"/>
      <w:r>
        <w:rPr>
          <w:sz w:val="22"/>
          <w:szCs w:val="22"/>
        </w:rPr>
        <w:t xml:space="preserve"> and signaling, and </w:t>
      </w:r>
    </w:p>
    <w:p w:rsidR="001A1C94" w:rsidRPr="001A1C94" w:rsidRDefault="001A1C94" w:rsidP="002944CF">
      <w:pPr>
        <w:pStyle w:val="Default"/>
        <w:numPr>
          <w:ilvl w:val="0"/>
          <w:numId w:val="9"/>
        </w:numPr>
        <w:spacing w:after="66"/>
        <w:ind w:left="900" w:right="630"/>
        <w:jc w:val="both"/>
        <w:rPr>
          <w:sz w:val="22"/>
          <w:szCs w:val="22"/>
        </w:rPr>
      </w:pPr>
      <w:r w:rsidRPr="001A1C94">
        <w:rPr>
          <w:sz w:val="22"/>
          <w:szCs w:val="22"/>
        </w:rPr>
        <w:t xml:space="preserve">Review the history of previous near misses; </w:t>
      </w:r>
      <w:r>
        <w:rPr>
          <w:sz w:val="22"/>
          <w:szCs w:val="22"/>
        </w:rPr>
        <w:t xml:space="preserve">in order to </w:t>
      </w:r>
      <w:r w:rsidRPr="001A1C94">
        <w:rPr>
          <w:sz w:val="22"/>
          <w:szCs w:val="22"/>
        </w:rPr>
        <w:t xml:space="preserve">ascertain what corrective actions were taken to address these. </w:t>
      </w:r>
    </w:p>
    <w:p w:rsidR="001A1C94" w:rsidRDefault="001A1C94" w:rsidP="001A1C94">
      <w:pPr>
        <w:pStyle w:val="Default"/>
        <w:ind w:right="630"/>
        <w:jc w:val="both"/>
        <w:rPr>
          <w:sz w:val="22"/>
          <w:szCs w:val="22"/>
        </w:rPr>
      </w:pPr>
    </w:p>
    <w:p w:rsidR="001A1C94" w:rsidRDefault="001A1C94" w:rsidP="00C15A54">
      <w:pPr>
        <w:pStyle w:val="Default"/>
        <w:ind w:left="720" w:right="630" w:hanging="450"/>
        <w:jc w:val="both"/>
        <w:rPr>
          <w:sz w:val="22"/>
          <w:szCs w:val="22"/>
        </w:rPr>
      </w:pPr>
      <w:r>
        <w:rPr>
          <w:sz w:val="22"/>
          <w:szCs w:val="22"/>
        </w:rPr>
        <w:t>(iii)</w:t>
      </w:r>
      <w:r w:rsidR="00C15A54">
        <w:rPr>
          <w:sz w:val="22"/>
          <w:szCs w:val="22"/>
        </w:rPr>
        <w:tab/>
      </w:r>
      <w:r>
        <w:rPr>
          <w:sz w:val="22"/>
          <w:szCs w:val="22"/>
        </w:rPr>
        <w:t>(</w:t>
      </w:r>
      <w:proofErr w:type="gramStart"/>
      <w:r>
        <w:rPr>
          <w:sz w:val="22"/>
          <w:szCs w:val="22"/>
        </w:rPr>
        <w:t>aa</w:t>
      </w:r>
      <w:proofErr w:type="gramEnd"/>
      <w:r>
        <w:rPr>
          <w:sz w:val="22"/>
          <w:szCs w:val="22"/>
        </w:rPr>
        <w:t>)</w:t>
      </w:r>
      <w:r w:rsidR="00C15A54">
        <w:rPr>
          <w:sz w:val="22"/>
          <w:szCs w:val="22"/>
        </w:rPr>
        <w:tab/>
      </w:r>
      <w:r>
        <w:rPr>
          <w:sz w:val="22"/>
          <w:szCs w:val="22"/>
        </w:rPr>
        <w:t xml:space="preserve">The Railway Safety Regulator (RSR) immediately conducted a preliminary investigation and subsequently issued a report on </w:t>
      </w:r>
      <w:r w:rsidRPr="00C15A54">
        <w:rPr>
          <w:bCs/>
          <w:sz w:val="22"/>
          <w:szCs w:val="22"/>
        </w:rPr>
        <w:t>16 February 2017</w:t>
      </w:r>
      <w:r w:rsidRPr="00C15A54">
        <w:rPr>
          <w:sz w:val="22"/>
          <w:szCs w:val="22"/>
        </w:rPr>
        <w:t xml:space="preserve">. </w:t>
      </w:r>
      <w:r>
        <w:rPr>
          <w:sz w:val="22"/>
          <w:szCs w:val="22"/>
        </w:rPr>
        <w:t>Shortly after iss</w:t>
      </w:r>
      <w:r w:rsidR="00C15A54">
        <w:rPr>
          <w:sz w:val="22"/>
          <w:szCs w:val="22"/>
        </w:rPr>
        <w:t>uing a preliminary report, the T</w:t>
      </w:r>
      <w:r>
        <w:rPr>
          <w:sz w:val="22"/>
          <w:szCs w:val="22"/>
        </w:rPr>
        <w:t xml:space="preserve">erm of </w:t>
      </w:r>
      <w:r w:rsidR="00C15A54">
        <w:rPr>
          <w:sz w:val="22"/>
          <w:szCs w:val="22"/>
        </w:rPr>
        <w:t>R</w:t>
      </w:r>
      <w:r>
        <w:rPr>
          <w:sz w:val="22"/>
          <w:szCs w:val="22"/>
        </w:rPr>
        <w:t>eference (</w:t>
      </w:r>
      <w:proofErr w:type="spellStart"/>
      <w:r>
        <w:rPr>
          <w:sz w:val="22"/>
          <w:szCs w:val="22"/>
        </w:rPr>
        <w:t>ToR</w:t>
      </w:r>
      <w:proofErr w:type="spellEnd"/>
      <w:r>
        <w:rPr>
          <w:sz w:val="22"/>
          <w:szCs w:val="22"/>
        </w:rPr>
        <w:t xml:space="preserve">) for sourcing expertise of various disciplines were developed. The supply chain management processes are in progress </w:t>
      </w:r>
    </w:p>
    <w:p w:rsidR="00C15A54" w:rsidRDefault="00C15A54" w:rsidP="00C15A54">
      <w:pPr>
        <w:pStyle w:val="Default"/>
        <w:ind w:left="720" w:right="630" w:hanging="450"/>
        <w:jc w:val="both"/>
        <w:rPr>
          <w:sz w:val="22"/>
          <w:szCs w:val="22"/>
        </w:rPr>
      </w:pPr>
    </w:p>
    <w:p w:rsidR="001A1C94" w:rsidRDefault="001A1C94" w:rsidP="00C15A54">
      <w:pPr>
        <w:pStyle w:val="Default"/>
        <w:ind w:left="1440" w:right="630" w:hanging="720"/>
        <w:jc w:val="both"/>
        <w:rPr>
          <w:sz w:val="22"/>
          <w:szCs w:val="22"/>
        </w:rPr>
      </w:pPr>
      <w:r>
        <w:rPr>
          <w:sz w:val="22"/>
          <w:szCs w:val="22"/>
        </w:rPr>
        <w:t>(</w:t>
      </w:r>
      <w:proofErr w:type="gramStart"/>
      <w:r>
        <w:rPr>
          <w:sz w:val="22"/>
          <w:szCs w:val="22"/>
        </w:rPr>
        <w:t>bb</w:t>
      </w:r>
      <w:proofErr w:type="gramEnd"/>
      <w:r>
        <w:rPr>
          <w:sz w:val="22"/>
          <w:szCs w:val="22"/>
        </w:rPr>
        <w:t>)</w:t>
      </w:r>
      <w:r w:rsidR="00C15A54">
        <w:rPr>
          <w:sz w:val="22"/>
          <w:szCs w:val="22"/>
        </w:rPr>
        <w:tab/>
      </w:r>
      <w:r>
        <w:rPr>
          <w:sz w:val="22"/>
          <w:szCs w:val="22"/>
        </w:rPr>
        <w:t xml:space="preserve">It is envisaged to complete the BOI by end of </w:t>
      </w:r>
      <w:r w:rsidRPr="00C15A54">
        <w:rPr>
          <w:bCs/>
          <w:sz w:val="22"/>
          <w:szCs w:val="22"/>
        </w:rPr>
        <w:t xml:space="preserve">September 2017. </w:t>
      </w:r>
      <w:r w:rsidRPr="00C15A54">
        <w:rPr>
          <w:sz w:val="22"/>
          <w:szCs w:val="22"/>
        </w:rPr>
        <w:t xml:space="preserve">However, it should be noted that BOI’s could take six </w:t>
      </w:r>
      <w:r>
        <w:rPr>
          <w:sz w:val="22"/>
          <w:szCs w:val="22"/>
        </w:rPr>
        <w:t xml:space="preserve">(6) to twelve (12) months to complete. </w:t>
      </w:r>
    </w:p>
    <w:p w:rsidR="00C15A54" w:rsidRDefault="00C15A54" w:rsidP="001A1C94">
      <w:pPr>
        <w:pStyle w:val="Default"/>
        <w:ind w:right="630"/>
        <w:jc w:val="both"/>
        <w:rPr>
          <w:sz w:val="22"/>
          <w:szCs w:val="22"/>
        </w:rPr>
      </w:pPr>
    </w:p>
    <w:p w:rsidR="00C15A54" w:rsidRDefault="001A1C94" w:rsidP="001A1C94">
      <w:pPr>
        <w:pStyle w:val="Default"/>
        <w:ind w:right="630"/>
        <w:jc w:val="both"/>
        <w:rPr>
          <w:sz w:val="22"/>
          <w:szCs w:val="22"/>
        </w:rPr>
      </w:pPr>
      <w:r>
        <w:rPr>
          <w:sz w:val="22"/>
          <w:szCs w:val="22"/>
        </w:rPr>
        <w:t xml:space="preserve">b) </w:t>
      </w:r>
      <w:r w:rsidR="00C15A54">
        <w:rPr>
          <w:sz w:val="22"/>
          <w:szCs w:val="22"/>
        </w:rPr>
        <w:tab/>
        <w:t>The following expertise with be represented on the BOI</w:t>
      </w:r>
    </w:p>
    <w:p w:rsidR="001A1C94" w:rsidRDefault="00C15A54" w:rsidP="00C15A54">
      <w:pPr>
        <w:pStyle w:val="Default"/>
        <w:ind w:right="630" w:firstLine="720"/>
        <w:jc w:val="both"/>
        <w:rPr>
          <w:sz w:val="22"/>
          <w:szCs w:val="22"/>
        </w:rPr>
      </w:pPr>
      <w:r>
        <w:rPr>
          <w:sz w:val="22"/>
          <w:szCs w:val="22"/>
        </w:rPr>
        <w:t xml:space="preserve">- </w:t>
      </w:r>
      <w:r w:rsidR="001A1C94">
        <w:rPr>
          <w:sz w:val="22"/>
          <w:szCs w:val="22"/>
        </w:rPr>
        <w:t xml:space="preserve">Legal Expert (Chairperson) </w:t>
      </w:r>
    </w:p>
    <w:p w:rsidR="001A1C94" w:rsidRDefault="00C15A54" w:rsidP="00C15A54">
      <w:pPr>
        <w:pStyle w:val="Default"/>
        <w:ind w:right="630" w:firstLine="720"/>
        <w:jc w:val="both"/>
        <w:rPr>
          <w:sz w:val="22"/>
          <w:szCs w:val="22"/>
        </w:rPr>
      </w:pPr>
      <w:r>
        <w:rPr>
          <w:sz w:val="22"/>
          <w:szCs w:val="22"/>
        </w:rPr>
        <w:t xml:space="preserve">- </w:t>
      </w:r>
      <w:r w:rsidR="001A1C94">
        <w:rPr>
          <w:sz w:val="22"/>
          <w:szCs w:val="22"/>
        </w:rPr>
        <w:t xml:space="preserve">Signal Expert </w:t>
      </w:r>
    </w:p>
    <w:p w:rsidR="001A1C94" w:rsidRDefault="00C15A54" w:rsidP="00C15A54">
      <w:pPr>
        <w:pStyle w:val="Default"/>
        <w:ind w:right="630" w:firstLine="720"/>
        <w:jc w:val="both"/>
        <w:rPr>
          <w:sz w:val="22"/>
          <w:szCs w:val="22"/>
        </w:rPr>
      </w:pPr>
      <w:r>
        <w:rPr>
          <w:sz w:val="22"/>
          <w:szCs w:val="22"/>
        </w:rPr>
        <w:t xml:space="preserve">- </w:t>
      </w:r>
      <w:proofErr w:type="spellStart"/>
      <w:r w:rsidR="001A1C94">
        <w:rPr>
          <w:sz w:val="22"/>
          <w:szCs w:val="22"/>
        </w:rPr>
        <w:t>Perway</w:t>
      </w:r>
      <w:proofErr w:type="spellEnd"/>
      <w:r w:rsidR="001A1C94">
        <w:rPr>
          <w:sz w:val="22"/>
          <w:szCs w:val="22"/>
        </w:rPr>
        <w:t xml:space="preserve"> Expert </w:t>
      </w:r>
    </w:p>
    <w:p w:rsidR="00C15A54" w:rsidRDefault="00C15A54" w:rsidP="00C15A54">
      <w:pPr>
        <w:pStyle w:val="Default"/>
        <w:ind w:right="630" w:firstLine="720"/>
        <w:jc w:val="both"/>
        <w:rPr>
          <w:sz w:val="22"/>
          <w:szCs w:val="22"/>
        </w:rPr>
      </w:pPr>
      <w:r>
        <w:rPr>
          <w:sz w:val="22"/>
          <w:szCs w:val="22"/>
        </w:rPr>
        <w:t xml:space="preserve">- </w:t>
      </w:r>
      <w:r w:rsidR="001A1C94">
        <w:rPr>
          <w:sz w:val="22"/>
          <w:szCs w:val="22"/>
        </w:rPr>
        <w:t>Human Factors Experts</w:t>
      </w:r>
    </w:p>
    <w:p w:rsidR="001A1C94" w:rsidRDefault="001A1C94" w:rsidP="00C15A54">
      <w:pPr>
        <w:pStyle w:val="Default"/>
        <w:ind w:right="630" w:firstLine="720"/>
        <w:jc w:val="both"/>
        <w:rPr>
          <w:sz w:val="22"/>
          <w:szCs w:val="22"/>
        </w:rPr>
      </w:pPr>
      <w:r>
        <w:rPr>
          <w:sz w:val="22"/>
          <w:szCs w:val="22"/>
        </w:rPr>
        <w:t xml:space="preserve"> </w:t>
      </w:r>
    </w:p>
    <w:p w:rsidR="00242E6C" w:rsidRPr="00C15A54" w:rsidRDefault="001A1C94" w:rsidP="00C15A54">
      <w:pPr>
        <w:pStyle w:val="Default"/>
        <w:ind w:left="720" w:right="630" w:hanging="720"/>
        <w:jc w:val="both"/>
        <w:rPr>
          <w:sz w:val="22"/>
          <w:szCs w:val="22"/>
        </w:rPr>
      </w:pPr>
      <w:r>
        <w:rPr>
          <w:sz w:val="22"/>
          <w:szCs w:val="22"/>
        </w:rPr>
        <w:t>c)</w:t>
      </w:r>
      <w:r w:rsidR="00C15A54">
        <w:rPr>
          <w:sz w:val="22"/>
          <w:szCs w:val="22"/>
        </w:rPr>
        <w:tab/>
        <w:t xml:space="preserve">Members </w:t>
      </w:r>
      <w:proofErr w:type="gramStart"/>
      <w:r w:rsidR="00C15A54">
        <w:rPr>
          <w:sz w:val="22"/>
          <w:szCs w:val="22"/>
        </w:rPr>
        <w:t>has</w:t>
      </w:r>
      <w:proofErr w:type="gramEnd"/>
      <w:r w:rsidR="00C15A54">
        <w:rPr>
          <w:sz w:val="22"/>
          <w:szCs w:val="22"/>
        </w:rPr>
        <w:t xml:space="preserve"> not been appointed yet. T</w:t>
      </w:r>
      <w:r>
        <w:rPr>
          <w:sz w:val="22"/>
          <w:szCs w:val="22"/>
        </w:rPr>
        <w:t xml:space="preserve">he process is </w:t>
      </w:r>
      <w:r w:rsidR="00C15A54">
        <w:rPr>
          <w:sz w:val="22"/>
          <w:szCs w:val="22"/>
        </w:rPr>
        <w:t xml:space="preserve">being </w:t>
      </w:r>
      <w:r>
        <w:rPr>
          <w:sz w:val="22"/>
          <w:szCs w:val="22"/>
        </w:rPr>
        <w:t xml:space="preserve">facilitated by </w:t>
      </w:r>
      <w:r w:rsidR="00C15A54">
        <w:rPr>
          <w:sz w:val="22"/>
          <w:szCs w:val="22"/>
        </w:rPr>
        <w:t xml:space="preserve">the RSR </w:t>
      </w:r>
      <w:r>
        <w:rPr>
          <w:sz w:val="22"/>
          <w:szCs w:val="22"/>
        </w:rPr>
        <w:t>Supply Chain Management (SCM) department in l</w:t>
      </w:r>
      <w:r w:rsidR="00C15A54">
        <w:rPr>
          <w:sz w:val="22"/>
          <w:szCs w:val="22"/>
        </w:rPr>
        <w:t>ine with the legislative framework.</w:t>
      </w:r>
    </w:p>
    <w:sectPr w:rsidR="00242E6C" w:rsidRPr="00C15A54"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D7" w:rsidRDefault="007B3ED7" w:rsidP="00DB1508">
      <w:pPr>
        <w:spacing w:after="0" w:line="240" w:lineRule="auto"/>
      </w:pPr>
      <w:r>
        <w:separator/>
      </w:r>
    </w:p>
  </w:endnote>
  <w:endnote w:type="continuationSeparator" w:id="0">
    <w:p w:rsidR="007B3ED7" w:rsidRDefault="007B3ED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D7" w:rsidRDefault="007B3ED7" w:rsidP="00DB1508">
      <w:pPr>
        <w:spacing w:after="0" w:line="240" w:lineRule="auto"/>
      </w:pPr>
      <w:r>
        <w:separator/>
      </w:r>
    </w:p>
  </w:footnote>
  <w:footnote w:type="continuationSeparator" w:id="0">
    <w:p w:rsidR="007B3ED7" w:rsidRDefault="007B3ED7"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B7A"/>
    <w:multiLevelType w:val="hybridMultilevel"/>
    <w:tmpl w:val="14E61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3"/>
  </w:num>
  <w:num w:numId="5">
    <w:abstractNumId w:val="6"/>
  </w:num>
  <w:num w:numId="6">
    <w:abstractNumId w:val="2"/>
  </w:num>
  <w:num w:numId="7">
    <w:abstractNumId w:val="5"/>
  </w:num>
  <w:num w:numId="8">
    <w:abstractNumId w:val="4"/>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C4E7E"/>
    <w:rsid w:val="000E04E0"/>
    <w:rsid w:val="000E1816"/>
    <w:rsid w:val="000E1907"/>
    <w:rsid w:val="000F14B7"/>
    <w:rsid w:val="000F15CB"/>
    <w:rsid w:val="000F29A6"/>
    <w:rsid w:val="000F76BD"/>
    <w:rsid w:val="001306CF"/>
    <w:rsid w:val="00130AB5"/>
    <w:rsid w:val="00131EBD"/>
    <w:rsid w:val="0013407E"/>
    <w:rsid w:val="00137F28"/>
    <w:rsid w:val="00151529"/>
    <w:rsid w:val="00153AAD"/>
    <w:rsid w:val="00156DFD"/>
    <w:rsid w:val="001712B4"/>
    <w:rsid w:val="00173751"/>
    <w:rsid w:val="001828D3"/>
    <w:rsid w:val="001A1C94"/>
    <w:rsid w:val="001B2E53"/>
    <w:rsid w:val="001C323C"/>
    <w:rsid w:val="001C32E4"/>
    <w:rsid w:val="001C5010"/>
    <w:rsid w:val="001D5E1B"/>
    <w:rsid w:val="001E1B86"/>
    <w:rsid w:val="001F0CED"/>
    <w:rsid w:val="00202511"/>
    <w:rsid w:val="002026BE"/>
    <w:rsid w:val="00204538"/>
    <w:rsid w:val="00206B22"/>
    <w:rsid w:val="00212C41"/>
    <w:rsid w:val="002136FC"/>
    <w:rsid w:val="00220C71"/>
    <w:rsid w:val="002422DA"/>
    <w:rsid w:val="00242E6C"/>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3F7C"/>
    <w:rsid w:val="003A4A56"/>
    <w:rsid w:val="003B15B6"/>
    <w:rsid w:val="003C53EF"/>
    <w:rsid w:val="003C785A"/>
    <w:rsid w:val="003D7ABC"/>
    <w:rsid w:val="003F7CE2"/>
    <w:rsid w:val="004016C1"/>
    <w:rsid w:val="0040578A"/>
    <w:rsid w:val="0040684E"/>
    <w:rsid w:val="0040732A"/>
    <w:rsid w:val="00420BFA"/>
    <w:rsid w:val="00422CB0"/>
    <w:rsid w:val="0042351F"/>
    <w:rsid w:val="00423E34"/>
    <w:rsid w:val="004253F6"/>
    <w:rsid w:val="00430277"/>
    <w:rsid w:val="0043571E"/>
    <w:rsid w:val="00451494"/>
    <w:rsid w:val="00460FD2"/>
    <w:rsid w:val="004679CC"/>
    <w:rsid w:val="0047634E"/>
    <w:rsid w:val="004813B8"/>
    <w:rsid w:val="00493015"/>
    <w:rsid w:val="00495833"/>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B3ED7"/>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425B"/>
    <w:rsid w:val="008A3260"/>
    <w:rsid w:val="008A52D5"/>
    <w:rsid w:val="008B2E50"/>
    <w:rsid w:val="008B43BE"/>
    <w:rsid w:val="008B4716"/>
    <w:rsid w:val="008C0374"/>
    <w:rsid w:val="008C2F92"/>
    <w:rsid w:val="008E13A6"/>
    <w:rsid w:val="008F0979"/>
    <w:rsid w:val="00913EED"/>
    <w:rsid w:val="00916A9F"/>
    <w:rsid w:val="00916CE7"/>
    <w:rsid w:val="00921235"/>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69F"/>
    <w:rsid w:val="00A21F7F"/>
    <w:rsid w:val="00A22ECB"/>
    <w:rsid w:val="00A33285"/>
    <w:rsid w:val="00A4192C"/>
    <w:rsid w:val="00A43F41"/>
    <w:rsid w:val="00A44B9A"/>
    <w:rsid w:val="00A46CC2"/>
    <w:rsid w:val="00A55457"/>
    <w:rsid w:val="00A750D6"/>
    <w:rsid w:val="00A756F5"/>
    <w:rsid w:val="00A75AE8"/>
    <w:rsid w:val="00A87430"/>
    <w:rsid w:val="00A90242"/>
    <w:rsid w:val="00A90517"/>
    <w:rsid w:val="00A910A7"/>
    <w:rsid w:val="00A96DC3"/>
    <w:rsid w:val="00AB3558"/>
    <w:rsid w:val="00AB7AE6"/>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15B"/>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2635"/>
    <w:rsid w:val="00BF349B"/>
    <w:rsid w:val="00BF68B6"/>
    <w:rsid w:val="00BF69C4"/>
    <w:rsid w:val="00C01BD0"/>
    <w:rsid w:val="00C15A54"/>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17CEF"/>
    <w:rsid w:val="00D222DF"/>
    <w:rsid w:val="00D444E5"/>
    <w:rsid w:val="00D74AD1"/>
    <w:rsid w:val="00D76056"/>
    <w:rsid w:val="00D82AB0"/>
    <w:rsid w:val="00D92CFD"/>
    <w:rsid w:val="00D92F30"/>
    <w:rsid w:val="00DA1E37"/>
    <w:rsid w:val="00DB1508"/>
    <w:rsid w:val="00DD04B9"/>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customStyle="1" w:styleId="Default">
    <w:name w:val="Default"/>
    <w:rsid w:val="001A1C9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customStyle="1" w:styleId="Default">
    <w:name w:val="Default"/>
    <w:rsid w:val="001A1C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D9E8-E736-46C0-B3C8-2FD73984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2016-09-16T05:02:00Z</cp:lastPrinted>
  <dcterms:created xsi:type="dcterms:W3CDTF">2017-03-27T10:15:00Z</dcterms:created>
  <dcterms:modified xsi:type="dcterms:W3CDTF">2017-03-27T10:16:00Z</dcterms:modified>
</cp:coreProperties>
</file>