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081E6F"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F801D2">
        <w:rPr>
          <w:b/>
          <w:sz w:val="24"/>
          <w:szCs w:val="24"/>
        </w:rPr>
        <w:t>46</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F801D2" w:rsidRPr="003C18D2" w:rsidRDefault="00F801D2" w:rsidP="00F801D2">
      <w:pPr>
        <w:spacing w:before="100" w:beforeAutospacing="1" w:after="100" w:afterAutospacing="1"/>
        <w:ind w:left="720" w:hanging="720"/>
        <w:jc w:val="both"/>
        <w:outlineLvl w:val="0"/>
        <w:rPr>
          <w:sz w:val="24"/>
          <w:szCs w:val="24"/>
        </w:rPr>
      </w:pPr>
      <w:r w:rsidRPr="003C18D2">
        <w:rPr>
          <w:b/>
          <w:sz w:val="24"/>
          <w:szCs w:val="24"/>
        </w:rPr>
        <w:t>Mr R A Lees (DA) to ask the Minister of Human Settlements, Water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w:t>
      </w:r>
    </w:p>
    <w:p w:rsidR="00F801D2" w:rsidRPr="003C18D2" w:rsidRDefault="00F801D2" w:rsidP="00F801D2">
      <w:pPr>
        <w:spacing w:before="100" w:beforeAutospacing="1" w:after="100" w:afterAutospacing="1"/>
        <w:jc w:val="both"/>
        <w:rPr>
          <w:sz w:val="24"/>
          <w:szCs w:val="24"/>
        </w:rPr>
      </w:pPr>
      <w:r w:rsidRPr="003C18D2">
        <w:rPr>
          <w:sz w:val="24"/>
          <w:szCs w:val="24"/>
        </w:rPr>
        <w:t>With reference to her reply to question 34 on 13 March 2020, what are the details of (a) each of the estimated expenses that make up the</w:t>
      </w:r>
      <w:r>
        <w:rPr>
          <w:sz w:val="24"/>
          <w:szCs w:val="24"/>
        </w:rPr>
        <w:t xml:space="preserve"> preliminary cost estimate of R</w:t>
      </w:r>
      <w:r w:rsidRPr="003C18D2">
        <w:rPr>
          <w:sz w:val="24"/>
          <w:szCs w:val="24"/>
        </w:rPr>
        <w:t>1</w:t>
      </w:r>
      <w:r>
        <w:rPr>
          <w:sz w:val="24"/>
          <w:szCs w:val="24"/>
        </w:rPr>
        <w:t> </w:t>
      </w:r>
      <w:r w:rsidRPr="003C18D2">
        <w:rPr>
          <w:sz w:val="24"/>
          <w:szCs w:val="24"/>
        </w:rPr>
        <w:t>941</w:t>
      </w:r>
      <w:r>
        <w:rPr>
          <w:sz w:val="24"/>
          <w:szCs w:val="24"/>
        </w:rPr>
        <w:t> </w:t>
      </w:r>
      <w:r w:rsidRPr="003C18D2">
        <w:rPr>
          <w:sz w:val="24"/>
          <w:szCs w:val="24"/>
        </w:rPr>
        <w:t xml:space="preserve">894 392,00, (b) the payments made by all government and municipal departments and entities to persons and/or consultants on the project since it was initiated up to 29 February 2020, and (c) work done on the project by all consultants since the project was initiated up to 29 February 2020 including but not exclusively </w:t>
      </w:r>
      <w:r>
        <w:rPr>
          <w:sz w:val="24"/>
          <w:szCs w:val="24"/>
        </w:rPr>
        <w:t xml:space="preserve">by each consultant in terms of </w:t>
      </w:r>
      <w:r w:rsidRPr="003C18D2">
        <w:rPr>
          <w:sz w:val="24"/>
          <w:szCs w:val="24"/>
        </w:rPr>
        <w:t>(i) name, (ii) profession, (iii) work done, (iv) the amounts paid to each and (v) the dates that the work done by each consultant was completed?</w:t>
      </w:r>
      <w:r w:rsidRPr="003C18D2">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18D2">
        <w:t>NW848E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B85A27" w:rsidRPr="00B85A27" w:rsidRDefault="00B85A27" w:rsidP="00B85A27">
      <w:pPr>
        <w:pStyle w:val="ListParagraph"/>
        <w:ind w:left="0"/>
        <w:jc w:val="both"/>
      </w:pPr>
      <w:r w:rsidRPr="00B85A27">
        <w:t xml:space="preserve">The estimated cost of R1 941 894 392 provided in my reply to question 34 was for the entire Driefontein Bulk Water Supply Scheme. The project in question (i.e. </w:t>
      </w:r>
      <w:r w:rsidRPr="00B85A27">
        <w:rPr>
          <w:rFonts w:eastAsia="Calibri"/>
        </w:rPr>
        <w:t>Ladysmith (Spioenkop) Bulk Water Supply Scheme)</w:t>
      </w:r>
      <w:r w:rsidRPr="00B85A27">
        <w:t xml:space="preserve"> constitutes a third phase of the project. The breakdown is as follows:</w:t>
      </w:r>
    </w:p>
    <w:p w:rsidR="00B85A27" w:rsidRPr="007A0AAB" w:rsidRDefault="00B85A27" w:rsidP="00B85A27">
      <w:pPr>
        <w:ind w:firstLine="720"/>
        <w:jc w:val="both"/>
        <w:rPr>
          <w:rFonts w:ascii="Arial" w:hAnsi="Arial" w:cs="Arial"/>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54"/>
        <w:gridCol w:w="2340"/>
        <w:gridCol w:w="1710"/>
      </w:tblGrid>
      <w:tr w:rsidR="00B85A27" w:rsidRPr="007A0AAB" w:rsidTr="00B85A27">
        <w:tc>
          <w:tcPr>
            <w:tcW w:w="1560" w:type="dxa"/>
            <w:shd w:val="clear" w:color="auto" w:fill="auto"/>
          </w:tcPr>
          <w:p w:rsidR="00B85A27" w:rsidRPr="00B85A27" w:rsidRDefault="00B85A27" w:rsidP="00FE150B">
            <w:pPr>
              <w:jc w:val="both"/>
              <w:rPr>
                <w:sz w:val="22"/>
                <w:szCs w:val="22"/>
                <w:lang w:val="en-US"/>
              </w:rPr>
            </w:pPr>
          </w:p>
        </w:tc>
        <w:tc>
          <w:tcPr>
            <w:tcW w:w="2126" w:type="dxa"/>
            <w:shd w:val="clear" w:color="auto" w:fill="auto"/>
          </w:tcPr>
          <w:p w:rsidR="00B85A27" w:rsidRPr="00B85A27" w:rsidRDefault="00B85A27" w:rsidP="00FE150B">
            <w:pPr>
              <w:rPr>
                <w:b/>
                <w:sz w:val="22"/>
                <w:szCs w:val="22"/>
                <w:lang w:val="en-US"/>
              </w:rPr>
            </w:pPr>
            <w:r w:rsidRPr="00B85A27">
              <w:rPr>
                <w:b/>
                <w:sz w:val="22"/>
                <w:szCs w:val="22"/>
                <w:lang w:val="en-US"/>
              </w:rPr>
              <w:t>Driefontein Bulk Complex – Phase 1</w:t>
            </w:r>
          </w:p>
        </w:tc>
        <w:tc>
          <w:tcPr>
            <w:tcW w:w="2254" w:type="dxa"/>
            <w:shd w:val="clear" w:color="auto" w:fill="auto"/>
          </w:tcPr>
          <w:p w:rsidR="00B85A27" w:rsidRPr="00B85A27" w:rsidRDefault="00B85A27" w:rsidP="00FE150B">
            <w:pPr>
              <w:rPr>
                <w:b/>
                <w:sz w:val="22"/>
                <w:szCs w:val="22"/>
                <w:lang w:val="en-US"/>
              </w:rPr>
            </w:pPr>
            <w:r w:rsidRPr="00B85A27">
              <w:rPr>
                <w:b/>
                <w:sz w:val="22"/>
                <w:szCs w:val="22"/>
                <w:lang w:val="en-US"/>
              </w:rPr>
              <w:t xml:space="preserve">Driefontein (Hobsland-Indaka) Bulk Water Scheme </w:t>
            </w:r>
          </w:p>
          <w:p w:rsidR="00B85A27" w:rsidRPr="00B85A27" w:rsidRDefault="00B85A27" w:rsidP="00FE150B">
            <w:pPr>
              <w:rPr>
                <w:b/>
                <w:sz w:val="22"/>
                <w:szCs w:val="22"/>
                <w:lang w:val="en-US"/>
              </w:rPr>
            </w:pPr>
            <w:r w:rsidRPr="00B85A27">
              <w:rPr>
                <w:b/>
                <w:sz w:val="22"/>
                <w:szCs w:val="22"/>
                <w:lang w:val="en-US"/>
              </w:rPr>
              <w:t>– Phase 2</w:t>
            </w:r>
          </w:p>
        </w:tc>
        <w:tc>
          <w:tcPr>
            <w:tcW w:w="2340" w:type="dxa"/>
            <w:shd w:val="clear" w:color="auto" w:fill="auto"/>
          </w:tcPr>
          <w:p w:rsidR="00B85A27" w:rsidRPr="00B85A27" w:rsidRDefault="00B85A27" w:rsidP="00FE150B">
            <w:pPr>
              <w:rPr>
                <w:b/>
                <w:bCs/>
                <w:sz w:val="22"/>
                <w:szCs w:val="22"/>
                <w:lang w:val="en-ZA"/>
              </w:rPr>
            </w:pPr>
            <w:r w:rsidRPr="00B85A27">
              <w:rPr>
                <w:b/>
                <w:bCs/>
                <w:sz w:val="22"/>
                <w:szCs w:val="22"/>
                <w:lang w:val="en-ZA"/>
              </w:rPr>
              <w:t xml:space="preserve">Spioenkop-Ladysmith Bulk Water Supply Scheme </w:t>
            </w:r>
          </w:p>
          <w:p w:rsidR="00B85A27" w:rsidRPr="00B85A27" w:rsidRDefault="00B85A27" w:rsidP="00FE150B">
            <w:pPr>
              <w:rPr>
                <w:b/>
                <w:sz w:val="22"/>
                <w:szCs w:val="22"/>
                <w:lang w:val="en-US"/>
              </w:rPr>
            </w:pPr>
            <w:r w:rsidRPr="00B85A27">
              <w:rPr>
                <w:b/>
                <w:bCs/>
                <w:sz w:val="22"/>
                <w:szCs w:val="22"/>
                <w:lang w:val="en-ZA"/>
              </w:rPr>
              <w:t>– Phase 3</w:t>
            </w:r>
          </w:p>
        </w:tc>
        <w:tc>
          <w:tcPr>
            <w:tcW w:w="1710" w:type="dxa"/>
            <w:shd w:val="clear" w:color="auto" w:fill="auto"/>
          </w:tcPr>
          <w:p w:rsidR="00B85A27" w:rsidRPr="00B85A27" w:rsidRDefault="00B85A27" w:rsidP="00FE150B">
            <w:pPr>
              <w:jc w:val="both"/>
              <w:rPr>
                <w:b/>
                <w:sz w:val="22"/>
                <w:szCs w:val="22"/>
                <w:lang w:val="en-US"/>
              </w:rPr>
            </w:pPr>
            <w:r w:rsidRPr="00B85A27">
              <w:rPr>
                <w:b/>
                <w:sz w:val="22"/>
                <w:szCs w:val="22"/>
                <w:lang w:val="en-US"/>
              </w:rPr>
              <w:t>Total Cost</w:t>
            </w:r>
          </w:p>
        </w:tc>
      </w:tr>
      <w:tr w:rsidR="00B85A27" w:rsidRPr="007A0AAB" w:rsidTr="00B85A27">
        <w:tc>
          <w:tcPr>
            <w:tcW w:w="1560" w:type="dxa"/>
            <w:shd w:val="clear" w:color="auto" w:fill="auto"/>
          </w:tcPr>
          <w:p w:rsidR="00B85A27" w:rsidRPr="00B85A27" w:rsidRDefault="00B85A27" w:rsidP="00FE150B">
            <w:pPr>
              <w:jc w:val="both"/>
              <w:rPr>
                <w:sz w:val="22"/>
                <w:szCs w:val="22"/>
                <w:lang w:val="en-US"/>
              </w:rPr>
            </w:pPr>
            <w:r w:rsidRPr="00B85A27">
              <w:rPr>
                <w:sz w:val="22"/>
                <w:szCs w:val="22"/>
                <w:lang w:val="en-US"/>
              </w:rPr>
              <w:t>MIG Funding</w:t>
            </w:r>
          </w:p>
        </w:tc>
        <w:tc>
          <w:tcPr>
            <w:tcW w:w="2126" w:type="dxa"/>
            <w:shd w:val="clear" w:color="auto" w:fill="auto"/>
          </w:tcPr>
          <w:p w:rsidR="00B85A27" w:rsidRPr="00B85A27" w:rsidRDefault="00B85A27" w:rsidP="00FE150B">
            <w:pPr>
              <w:jc w:val="both"/>
              <w:rPr>
                <w:sz w:val="22"/>
                <w:szCs w:val="22"/>
                <w:lang w:val="en-US"/>
              </w:rPr>
            </w:pPr>
            <w:r w:rsidRPr="00B85A27">
              <w:rPr>
                <w:sz w:val="22"/>
                <w:szCs w:val="22"/>
                <w:lang w:val="en-US"/>
              </w:rPr>
              <w:t>3,023,354</w:t>
            </w:r>
          </w:p>
        </w:tc>
        <w:tc>
          <w:tcPr>
            <w:tcW w:w="2254" w:type="dxa"/>
            <w:shd w:val="clear" w:color="auto" w:fill="auto"/>
          </w:tcPr>
          <w:p w:rsidR="00B85A27" w:rsidRPr="00B85A27" w:rsidRDefault="00B85A27" w:rsidP="00FE150B">
            <w:pPr>
              <w:jc w:val="both"/>
              <w:rPr>
                <w:sz w:val="22"/>
                <w:szCs w:val="22"/>
                <w:lang w:val="en-US"/>
              </w:rPr>
            </w:pPr>
            <w:r w:rsidRPr="00B85A27">
              <w:rPr>
                <w:sz w:val="22"/>
                <w:szCs w:val="22"/>
                <w:lang w:val="en-US"/>
              </w:rPr>
              <w:t>20,042,456</w:t>
            </w:r>
          </w:p>
        </w:tc>
        <w:tc>
          <w:tcPr>
            <w:tcW w:w="2340" w:type="dxa"/>
            <w:shd w:val="clear" w:color="auto" w:fill="auto"/>
          </w:tcPr>
          <w:p w:rsidR="00B85A27" w:rsidRPr="00B85A27" w:rsidRDefault="00B85A27" w:rsidP="00FE150B">
            <w:pPr>
              <w:jc w:val="both"/>
              <w:rPr>
                <w:sz w:val="22"/>
                <w:szCs w:val="22"/>
                <w:lang w:val="en-US"/>
              </w:rPr>
            </w:pPr>
            <w:r w:rsidRPr="00B85A27">
              <w:rPr>
                <w:sz w:val="22"/>
                <w:szCs w:val="22"/>
                <w:lang w:val="en-US"/>
              </w:rPr>
              <w:t>40,699,215</w:t>
            </w:r>
          </w:p>
        </w:tc>
        <w:tc>
          <w:tcPr>
            <w:tcW w:w="1710" w:type="dxa"/>
            <w:shd w:val="clear" w:color="auto" w:fill="auto"/>
          </w:tcPr>
          <w:p w:rsidR="00B85A27" w:rsidRPr="00B85A27" w:rsidRDefault="00B85A27" w:rsidP="00FE150B">
            <w:pPr>
              <w:jc w:val="both"/>
              <w:rPr>
                <w:sz w:val="22"/>
                <w:szCs w:val="22"/>
                <w:lang w:val="en-US"/>
              </w:rPr>
            </w:pPr>
            <w:r w:rsidRPr="00B85A27">
              <w:rPr>
                <w:sz w:val="22"/>
                <w:szCs w:val="22"/>
                <w:lang w:val="en-US"/>
              </w:rPr>
              <w:t>63,765,025</w:t>
            </w:r>
          </w:p>
        </w:tc>
      </w:tr>
      <w:tr w:rsidR="00B85A27" w:rsidRPr="007A0AAB" w:rsidTr="00B85A27">
        <w:tc>
          <w:tcPr>
            <w:tcW w:w="1560" w:type="dxa"/>
            <w:shd w:val="clear" w:color="auto" w:fill="auto"/>
          </w:tcPr>
          <w:p w:rsidR="00B85A27" w:rsidRPr="00B85A27" w:rsidRDefault="00B85A27" w:rsidP="00FE150B">
            <w:pPr>
              <w:jc w:val="both"/>
              <w:rPr>
                <w:sz w:val="22"/>
                <w:szCs w:val="22"/>
                <w:lang w:val="en-US"/>
              </w:rPr>
            </w:pPr>
            <w:r w:rsidRPr="00B85A27">
              <w:rPr>
                <w:sz w:val="22"/>
                <w:szCs w:val="22"/>
                <w:lang w:val="en-US"/>
              </w:rPr>
              <w:t>RBIG Funding</w:t>
            </w:r>
          </w:p>
        </w:tc>
        <w:tc>
          <w:tcPr>
            <w:tcW w:w="2126" w:type="dxa"/>
            <w:shd w:val="clear" w:color="auto" w:fill="auto"/>
          </w:tcPr>
          <w:p w:rsidR="00B85A27" w:rsidRPr="00B85A27" w:rsidRDefault="00B85A27" w:rsidP="00FE150B">
            <w:pPr>
              <w:jc w:val="both"/>
              <w:rPr>
                <w:sz w:val="22"/>
                <w:szCs w:val="22"/>
                <w:lang w:val="en-US"/>
              </w:rPr>
            </w:pPr>
            <w:r w:rsidRPr="00B85A27">
              <w:rPr>
                <w:sz w:val="22"/>
                <w:szCs w:val="22"/>
                <w:lang w:val="en-US"/>
              </w:rPr>
              <w:t>116,739,394</w:t>
            </w:r>
          </w:p>
        </w:tc>
        <w:tc>
          <w:tcPr>
            <w:tcW w:w="2254" w:type="dxa"/>
            <w:shd w:val="clear" w:color="auto" w:fill="auto"/>
          </w:tcPr>
          <w:p w:rsidR="00B85A27" w:rsidRPr="00B85A27" w:rsidRDefault="00B85A27" w:rsidP="00FE150B">
            <w:pPr>
              <w:jc w:val="both"/>
              <w:rPr>
                <w:sz w:val="22"/>
                <w:szCs w:val="22"/>
                <w:lang w:val="en-US"/>
              </w:rPr>
            </w:pPr>
            <w:r w:rsidRPr="00B85A27">
              <w:rPr>
                <w:sz w:val="22"/>
                <w:szCs w:val="22"/>
                <w:lang w:val="en-US"/>
              </w:rPr>
              <w:t>281,002,717</w:t>
            </w:r>
          </w:p>
        </w:tc>
        <w:tc>
          <w:tcPr>
            <w:tcW w:w="2340" w:type="dxa"/>
            <w:shd w:val="clear" w:color="auto" w:fill="auto"/>
          </w:tcPr>
          <w:p w:rsidR="00B85A27" w:rsidRPr="00B85A27" w:rsidRDefault="00B85A27" w:rsidP="00FE150B">
            <w:pPr>
              <w:jc w:val="both"/>
              <w:rPr>
                <w:sz w:val="22"/>
                <w:szCs w:val="22"/>
                <w:lang w:val="en-US"/>
              </w:rPr>
            </w:pPr>
            <w:r w:rsidRPr="00B85A27">
              <w:rPr>
                <w:sz w:val="22"/>
                <w:szCs w:val="22"/>
                <w:lang w:val="en-US"/>
              </w:rPr>
              <w:t>479,397,225</w:t>
            </w:r>
          </w:p>
        </w:tc>
        <w:tc>
          <w:tcPr>
            <w:tcW w:w="1710" w:type="dxa"/>
            <w:shd w:val="clear" w:color="auto" w:fill="auto"/>
          </w:tcPr>
          <w:p w:rsidR="00B85A27" w:rsidRPr="00B85A27" w:rsidRDefault="00B85A27" w:rsidP="00FE150B">
            <w:pPr>
              <w:jc w:val="both"/>
              <w:rPr>
                <w:sz w:val="22"/>
                <w:szCs w:val="22"/>
                <w:lang w:val="en-US"/>
              </w:rPr>
            </w:pPr>
            <w:r w:rsidRPr="00B85A27">
              <w:rPr>
                <w:sz w:val="22"/>
                <w:szCs w:val="22"/>
                <w:lang w:val="en-US"/>
              </w:rPr>
              <w:t>877,139,336</w:t>
            </w:r>
          </w:p>
        </w:tc>
      </w:tr>
      <w:tr w:rsidR="00B85A27" w:rsidRPr="007A0AAB" w:rsidTr="00B85A27">
        <w:tc>
          <w:tcPr>
            <w:tcW w:w="1560" w:type="dxa"/>
            <w:shd w:val="clear" w:color="auto" w:fill="auto"/>
          </w:tcPr>
          <w:p w:rsidR="00B85A27" w:rsidRPr="00B85A27" w:rsidRDefault="00B85A27" w:rsidP="00FE150B">
            <w:pPr>
              <w:jc w:val="both"/>
              <w:rPr>
                <w:sz w:val="22"/>
                <w:szCs w:val="22"/>
                <w:lang w:val="en-US"/>
              </w:rPr>
            </w:pPr>
            <w:r w:rsidRPr="00B85A27">
              <w:rPr>
                <w:sz w:val="22"/>
                <w:szCs w:val="22"/>
                <w:lang w:val="en-US"/>
              </w:rPr>
              <w:t>Other Funding</w:t>
            </w:r>
          </w:p>
        </w:tc>
        <w:tc>
          <w:tcPr>
            <w:tcW w:w="2126" w:type="dxa"/>
            <w:shd w:val="clear" w:color="auto" w:fill="auto"/>
          </w:tcPr>
          <w:p w:rsidR="00B85A27" w:rsidRPr="00B85A27" w:rsidRDefault="00B85A27" w:rsidP="00FE150B">
            <w:pPr>
              <w:jc w:val="both"/>
              <w:rPr>
                <w:sz w:val="22"/>
                <w:szCs w:val="22"/>
                <w:lang w:val="en-US"/>
              </w:rPr>
            </w:pPr>
          </w:p>
        </w:tc>
        <w:tc>
          <w:tcPr>
            <w:tcW w:w="2254" w:type="dxa"/>
            <w:shd w:val="clear" w:color="auto" w:fill="auto"/>
          </w:tcPr>
          <w:p w:rsidR="00B85A27" w:rsidRPr="00B85A27" w:rsidRDefault="00B85A27" w:rsidP="00FE150B">
            <w:pPr>
              <w:jc w:val="both"/>
              <w:rPr>
                <w:sz w:val="22"/>
                <w:szCs w:val="22"/>
                <w:lang w:val="en-US"/>
              </w:rPr>
            </w:pPr>
          </w:p>
        </w:tc>
        <w:tc>
          <w:tcPr>
            <w:tcW w:w="2340" w:type="dxa"/>
            <w:shd w:val="clear" w:color="auto" w:fill="auto"/>
          </w:tcPr>
          <w:p w:rsidR="00B85A27" w:rsidRPr="00B85A27" w:rsidRDefault="00B85A27" w:rsidP="00FE150B">
            <w:pPr>
              <w:jc w:val="both"/>
              <w:rPr>
                <w:sz w:val="22"/>
                <w:szCs w:val="22"/>
                <w:lang w:val="en-US"/>
              </w:rPr>
            </w:pPr>
            <w:r w:rsidRPr="00B85A27">
              <w:rPr>
                <w:sz w:val="22"/>
                <w:szCs w:val="22"/>
                <w:lang w:val="en-US"/>
              </w:rPr>
              <w:t>1,000,990,031</w:t>
            </w:r>
          </w:p>
        </w:tc>
        <w:tc>
          <w:tcPr>
            <w:tcW w:w="1710" w:type="dxa"/>
            <w:shd w:val="clear" w:color="auto" w:fill="auto"/>
          </w:tcPr>
          <w:p w:rsidR="00B85A27" w:rsidRPr="00B85A27" w:rsidRDefault="00B85A27" w:rsidP="00FE150B">
            <w:pPr>
              <w:jc w:val="both"/>
              <w:rPr>
                <w:sz w:val="22"/>
                <w:szCs w:val="22"/>
                <w:lang w:val="en-US"/>
              </w:rPr>
            </w:pPr>
            <w:r w:rsidRPr="00B85A27">
              <w:rPr>
                <w:sz w:val="22"/>
                <w:szCs w:val="22"/>
                <w:lang w:val="en-US"/>
              </w:rPr>
              <w:t>1,000,990,031</w:t>
            </w:r>
          </w:p>
        </w:tc>
      </w:tr>
      <w:tr w:rsidR="00B85A27" w:rsidRPr="007A0AAB" w:rsidTr="00B85A27">
        <w:tc>
          <w:tcPr>
            <w:tcW w:w="1560" w:type="dxa"/>
            <w:shd w:val="clear" w:color="auto" w:fill="auto"/>
          </w:tcPr>
          <w:p w:rsidR="00B85A27" w:rsidRPr="00B85A27" w:rsidRDefault="00B85A27" w:rsidP="00FE150B">
            <w:pPr>
              <w:jc w:val="both"/>
              <w:rPr>
                <w:b/>
                <w:sz w:val="22"/>
                <w:szCs w:val="22"/>
                <w:lang w:val="en-US"/>
              </w:rPr>
            </w:pPr>
            <w:r w:rsidRPr="00B85A27">
              <w:rPr>
                <w:b/>
                <w:sz w:val="22"/>
                <w:szCs w:val="22"/>
                <w:lang w:val="en-US"/>
              </w:rPr>
              <w:t>Total</w:t>
            </w:r>
          </w:p>
        </w:tc>
        <w:tc>
          <w:tcPr>
            <w:tcW w:w="2126" w:type="dxa"/>
            <w:shd w:val="clear" w:color="auto" w:fill="auto"/>
          </w:tcPr>
          <w:p w:rsidR="00B85A27" w:rsidRPr="00B85A27" w:rsidRDefault="00B85A27" w:rsidP="00FE150B">
            <w:pPr>
              <w:jc w:val="both"/>
              <w:rPr>
                <w:b/>
                <w:sz w:val="22"/>
                <w:szCs w:val="22"/>
                <w:lang w:val="en-US"/>
              </w:rPr>
            </w:pPr>
            <w:r w:rsidRPr="00B85A27">
              <w:rPr>
                <w:b/>
                <w:sz w:val="22"/>
                <w:szCs w:val="22"/>
                <w:lang w:val="en-US"/>
              </w:rPr>
              <w:t>119,762,748</w:t>
            </w:r>
          </w:p>
        </w:tc>
        <w:tc>
          <w:tcPr>
            <w:tcW w:w="2254" w:type="dxa"/>
            <w:shd w:val="clear" w:color="auto" w:fill="auto"/>
          </w:tcPr>
          <w:p w:rsidR="00B85A27" w:rsidRPr="00B85A27" w:rsidRDefault="00B85A27" w:rsidP="00FE150B">
            <w:pPr>
              <w:jc w:val="both"/>
              <w:rPr>
                <w:b/>
                <w:sz w:val="22"/>
                <w:szCs w:val="22"/>
                <w:lang w:val="en-US"/>
              </w:rPr>
            </w:pPr>
            <w:r w:rsidRPr="00B85A27">
              <w:rPr>
                <w:b/>
                <w:sz w:val="22"/>
                <w:szCs w:val="22"/>
                <w:lang w:val="en-US"/>
              </w:rPr>
              <w:t>301,045,173</w:t>
            </w:r>
          </w:p>
        </w:tc>
        <w:tc>
          <w:tcPr>
            <w:tcW w:w="2340" w:type="dxa"/>
            <w:shd w:val="clear" w:color="auto" w:fill="auto"/>
          </w:tcPr>
          <w:p w:rsidR="00B85A27" w:rsidRPr="00B85A27" w:rsidRDefault="00B85A27" w:rsidP="00FE150B">
            <w:pPr>
              <w:jc w:val="both"/>
              <w:rPr>
                <w:b/>
                <w:sz w:val="22"/>
                <w:szCs w:val="22"/>
                <w:lang w:val="en-US"/>
              </w:rPr>
            </w:pPr>
            <w:r w:rsidRPr="00B85A27">
              <w:rPr>
                <w:b/>
                <w:sz w:val="22"/>
                <w:szCs w:val="22"/>
                <w:lang w:val="en-US"/>
              </w:rPr>
              <w:t>1,521,086,471</w:t>
            </w:r>
          </w:p>
        </w:tc>
        <w:tc>
          <w:tcPr>
            <w:tcW w:w="1710" w:type="dxa"/>
            <w:shd w:val="clear" w:color="auto" w:fill="auto"/>
          </w:tcPr>
          <w:p w:rsidR="00B85A27" w:rsidRPr="00B85A27" w:rsidRDefault="00B85A27" w:rsidP="00FE150B">
            <w:pPr>
              <w:jc w:val="both"/>
              <w:rPr>
                <w:b/>
                <w:sz w:val="22"/>
                <w:szCs w:val="22"/>
                <w:lang w:val="en-US"/>
              </w:rPr>
            </w:pPr>
            <w:r w:rsidRPr="00B85A27">
              <w:rPr>
                <w:b/>
                <w:sz w:val="22"/>
                <w:szCs w:val="22"/>
                <w:lang w:val="en-US"/>
              </w:rPr>
              <w:t>1,941,894,392</w:t>
            </w:r>
          </w:p>
        </w:tc>
      </w:tr>
    </w:tbl>
    <w:p w:rsidR="00B85A27" w:rsidRPr="007A0AAB" w:rsidRDefault="00B85A27" w:rsidP="00B85A27">
      <w:pPr>
        <w:ind w:left="709"/>
        <w:jc w:val="both"/>
        <w:rPr>
          <w:rFonts w:ascii="Arial" w:hAnsi="Arial" w:cs="Arial"/>
          <w:lang w:val="en-US"/>
        </w:rPr>
      </w:pPr>
    </w:p>
    <w:p w:rsidR="00B85A27" w:rsidRPr="00B85A27" w:rsidRDefault="00B85A27" w:rsidP="00B85A27">
      <w:pPr>
        <w:ind w:left="709"/>
        <w:jc w:val="both"/>
        <w:rPr>
          <w:sz w:val="24"/>
          <w:szCs w:val="24"/>
          <w:lang w:val="en-US"/>
        </w:rPr>
      </w:pPr>
    </w:p>
    <w:p w:rsidR="00B85A27" w:rsidRPr="00B85A27" w:rsidRDefault="00B85A27" w:rsidP="00B85A27">
      <w:pPr>
        <w:contextualSpacing/>
        <w:jc w:val="both"/>
        <w:rPr>
          <w:b/>
          <w:sz w:val="24"/>
          <w:szCs w:val="24"/>
          <w:u w:val="single"/>
        </w:rPr>
      </w:pPr>
      <w:r w:rsidRPr="00B85A27">
        <w:rPr>
          <w:sz w:val="24"/>
          <w:szCs w:val="24"/>
        </w:rPr>
        <w:t>No payments have been made on the Spioenkop-Ladysmith Bulk Water Supply Scheme because the project is still in the feasibility study phase which Umgeni Water undertook to fund from its own coffers.</w:t>
      </w:r>
    </w:p>
    <w:sectPr w:rsidR="00B85A27" w:rsidRPr="00B85A2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7F0" w:rsidRDefault="003747F0" w:rsidP="00054FEC">
      <w:r>
        <w:separator/>
      </w:r>
    </w:p>
  </w:endnote>
  <w:endnote w:type="continuationSeparator" w:id="0">
    <w:p w:rsidR="003747F0" w:rsidRDefault="003747F0"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7F0" w:rsidRDefault="003747F0" w:rsidP="00054FEC">
      <w:r>
        <w:separator/>
      </w:r>
    </w:p>
  </w:footnote>
  <w:footnote w:type="continuationSeparator" w:id="0">
    <w:p w:rsidR="003747F0" w:rsidRDefault="003747F0"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9437CC">
      <w:t>6</w:t>
    </w:r>
    <w:r w:rsidR="00F801D2">
      <w:t>46</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B1E1E"/>
    <w:multiLevelType w:val="hybridMultilevel"/>
    <w:tmpl w:val="52DC3D7A"/>
    <w:lvl w:ilvl="0" w:tplc="499687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1E6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40EF8"/>
    <w:rsid w:val="003500A3"/>
    <w:rsid w:val="00351776"/>
    <w:rsid w:val="00360151"/>
    <w:rsid w:val="003639EF"/>
    <w:rsid w:val="003658A1"/>
    <w:rsid w:val="00371AFD"/>
    <w:rsid w:val="003747F0"/>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4555"/>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32FA"/>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5A27"/>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150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30DE2A-047E-49A9-AE8D-BF9B85A8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2020-06-02T15:53:00Z</dcterms:created>
  <dcterms:modified xsi:type="dcterms:W3CDTF">2020-06-02T15:53:00Z</dcterms:modified>
</cp:coreProperties>
</file>