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E6057F" w:rsidP="00E6057F">
      <w:pPr>
        <w:tabs>
          <w:tab w:val="left" w:pos="1080"/>
          <w:tab w:val="left" w:pos="1620"/>
          <w:tab w:val="left" w:pos="2340"/>
        </w:tabs>
        <w:spacing w:line="480" w:lineRule="auto"/>
        <w:jc w:val="both"/>
        <w:rPr>
          <w:rFonts w:ascii="Arial" w:hAnsi="Arial" w:cs="Arial"/>
          <w:b/>
          <w:bCs/>
          <w:sz w:val="22"/>
          <w:szCs w:val="22"/>
          <w:lang w:val="en-US"/>
        </w:rPr>
      </w:pPr>
      <w:r>
        <w:rPr>
          <w:rFonts w:ascii="Arial" w:hAnsi="Arial" w:cs="Arial"/>
          <w:b/>
          <w:bCs/>
          <w:sz w:val="22"/>
          <w:szCs w:val="22"/>
          <w:lang w:val="en-US"/>
        </w:rPr>
        <w:t>National Assembly</w:t>
      </w:r>
    </w:p>
    <w:p w:rsidR="00E6057F" w:rsidRPr="000312DA" w:rsidRDefault="00E6057F" w:rsidP="00E6057F">
      <w:pPr>
        <w:tabs>
          <w:tab w:val="left" w:pos="1080"/>
          <w:tab w:val="left" w:pos="1620"/>
          <w:tab w:val="left" w:pos="2340"/>
        </w:tabs>
        <w:spacing w:line="480" w:lineRule="auto"/>
        <w:jc w:val="both"/>
        <w:rPr>
          <w:rFonts w:ascii="Arial" w:hAnsi="Arial" w:cs="Arial"/>
          <w:b/>
          <w:bCs/>
          <w:sz w:val="22"/>
          <w:szCs w:val="22"/>
          <w:lang w:val="en-US"/>
        </w:rPr>
      </w:pPr>
      <w:r>
        <w:rPr>
          <w:rFonts w:ascii="Arial" w:hAnsi="Arial" w:cs="Arial"/>
          <w:b/>
          <w:bCs/>
          <w:sz w:val="22"/>
          <w:szCs w:val="22"/>
          <w:lang w:val="en-US"/>
        </w:rPr>
        <w:t>Question No. 645</w:t>
      </w:r>
    </w:p>
    <w:p w:rsidR="00901757" w:rsidRPr="00901757" w:rsidRDefault="00901757" w:rsidP="00901757">
      <w:pPr>
        <w:autoSpaceDE w:val="0"/>
        <w:autoSpaceDN w:val="0"/>
        <w:adjustRightInd w:val="0"/>
        <w:rPr>
          <w:rFonts w:ascii="Arial" w:hAnsi="Arial" w:cs="Arial"/>
          <w:color w:val="000000"/>
          <w:sz w:val="22"/>
          <w:szCs w:val="22"/>
          <w:lang w:val="en-ZA" w:eastAsia="en-ZA"/>
        </w:rPr>
      </w:pPr>
      <w:r w:rsidRPr="00901757">
        <w:rPr>
          <w:rFonts w:ascii="Arial" w:hAnsi="Arial" w:cs="Arial"/>
          <w:b/>
          <w:bCs/>
          <w:color w:val="000000"/>
          <w:sz w:val="22"/>
          <w:szCs w:val="22"/>
          <w:lang w:val="en-ZA" w:eastAsia="en-ZA"/>
        </w:rPr>
        <w:t xml:space="preserve"> Mr K P Sithole (IFP) to ask the Minister of Transport: </w:t>
      </w:r>
    </w:p>
    <w:p w:rsidR="00A14605" w:rsidRPr="008415E3" w:rsidRDefault="00901757" w:rsidP="00901757">
      <w:pPr>
        <w:spacing w:before="100" w:beforeAutospacing="1" w:after="100" w:afterAutospacing="1"/>
        <w:ind w:left="720"/>
        <w:jc w:val="both"/>
        <w:rPr>
          <w:rFonts w:ascii="Arial" w:hAnsi="Arial" w:cs="Arial"/>
          <w:sz w:val="22"/>
          <w:szCs w:val="22"/>
        </w:rPr>
      </w:pPr>
      <w:r w:rsidRPr="00901757">
        <w:rPr>
          <w:rFonts w:ascii="Arial" w:hAnsi="Arial" w:cs="Arial"/>
          <w:color w:val="000000"/>
          <w:sz w:val="22"/>
          <w:szCs w:val="22"/>
          <w:lang w:val="en-ZA" w:eastAsia="en-ZA"/>
        </w:rPr>
        <w:t>What is the breakdown of the total amount in income that the tolls on the national road between Johannesburg and Durban generate per (a) month and (b) year? NW763E</w:t>
      </w:r>
    </w:p>
    <w:p w:rsidR="000312DA" w:rsidRDefault="000312DA" w:rsidP="00B706B8">
      <w:pPr>
        <w:tabs>
          <w:tab w:val="left" w:pos="540"/>
          <w:tab w:val="left" w:pos="1080"/>
          <w:tab w:val="left" w:pos="1620"/>
          <w:tab w:val="left" w:pos="2340"/>
        </w:tabs>
        <w:jc w:val="both"/>
        <w:rPr>
          <w:rFonts w:ascii="Arial" w:hAnsi="Arial" w:cs="Arial"/>
          <w:b/>
          <w:bCs/>
          <w:sz w:val="22"/>
          <w:szCs w:val="22"/>
          <w:lang w:val="en-US"/>
        </w:rPr>
      </w:pPr>
      <w:r>
        <w:rPr>
          <w:rFonts w:ascii="Arial" w:hAnsi="Arial" w:cs="Arial"/>
          <w:b/>
          <w:bCs/>
          <w:sz w:val="22"/>
          <w:szCs w:val="22"/>
          <w:lang w:val="en-US"/>
        </w:rPr>
        <w:tab/>
      </w:r>
    </w:p>
    <w:p w:rsidR="00431FFB" w:rsidRDefault="000312DA" w:rsidP="00107B84">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ab/>
      </w:r>
      <w:r w:rsidR="00431FFB"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B706B8" w:rsidRPr="00E1133A" w:rsidRDefault="00B706B8" w:rsidP="00B706B8">
      <w:pPr>
        <w:tabs>
          <w:tab w:val="left" w:pos="709"/>
          <w:tab w:val="right" w:pos="7938"/>
        </w:tabs>
        <w:spacing w:line="276" w:lineRule="auto"/>
        <w:ind w:left="567"/>
        <w:jc w:val="both"/>
        <w:rPr>
          <w:rFonts w:ascii="Arial" w:hAnsi="Arial" w:cs="Arial"/>
          <w:sz w:val="22"/>
          <w:szCs w:val="22"/>
          <w:lang w:val="en-US"/>
        </w:rPr>
      </w:pPr>
      <w:r w:rsidRPr="00E1133A">
        <w:rPr>
          <w:rFonts w:ascii="Arial" w:hAnsi="Arial" w:cs="Arial"/>
          <w:sz w:val="22"/>
          <w:szCs w:val="22"/>
          <w:lang w:val="en-US"/>
        </w:rPr>
        <w:t>Important to note that toll income from toll roads are used to:</w:t>
      </w:r>
    </w:p>
    <w:p w:rsidR="00B706B8" w:rsidRPr="00E1133A" w:rsidRDefault="00B706B8" w:rsidP="00B706B8">
      <w:pPr>
        <w:tabs>
          <w:tab w:val="left" w:pos="709"/>
          <w:tab w:val="right" w:pos="7938"/>
        </w:tabs>
        <w:spacing w:line="276" w:lineRule="auto"/>
        <w:jc w:val="both"/>
        <w:rPr>
          <w:rFonts w:ascii="Arial" w:hAnsi="Arial" w:cs="Arial"/>
          <w:sz w:val="22"/>
          <w:szCs w:val="22"/>
          <w:lang w:val="en-US"/>
        </w:rPr>
      </w:pPr>
    </w:p>
    <w:p w:rsidR="00B706B8" w:rsidRPr="00E1133A" w:rsidRDefault="00B706B8" w:rsidP="00B706B8">
      <w:pPr>
        <w:pStyle w:val="ListParagraph"/>
        <w:numPr>
          <w:ilvl w:val="0"/>
          <w:numId w:val="22"/>
        </w:numPr>
        <w:tabs>
          <w:tab w:val="right" w:pos="7938"/>
        </w:tabs>
        <w:ind w:left="709"/>
        <w:jc w:val="both"/>
        <w:rPr>
          <w:rFonts w:ascii="Arial" w:hAnsi="Arial" w:cs="Arial"/>
          <w:sz w:val="22"/>
          <w:szCs w:val="22"/>
          <w:lang w:val="en-US"/>
        </w:rPr>
      </w:pPr>
      <w:r w:rsidRPr="00E1133A">
        <w:rPr>
          <w:rFonts w:ascii="Arial" w:hAnsi="Arial" w:cs="Arial"/>
          <w:sz w:val="22"/>
          <w:szCs w:val="22"/>
          <w:lang w:val="en-US"/>
        </w:rPr>
        <w:t>Repay the debt raised to fund the capital cost of the initial road construction works and other major capital costs implemented during the life of the project (typically 30 years) to ensure that there is sufficient road capacity to cater for increasing traffic demand.</w:t>
      </w:r>
    </w:p>
    <w:p w:rsidR="00B706B8" w:rsidRPr="00E1133A" w:rsidRDefault="00B706B8" w:rsidP="00B706B8">
      <w:pPr>
        <w:pStyle w:val="ListParagraph"/>
        <w:numPr>
          <w:ilvl w:val="0"/>
          <w:numId w:val="22"/>
        </w:numPr>
        <w:tabs>
          <w:tab w:val="right" w:pos="7938"/>
        </w:tabs>
        <w:ind w:left="709"/>
        <w:jc w:val="both"/>
        <w:rPr>
          <w:rFonts w:ascii="Arial" w:hAnsi="Arial" w:cs="Arial"/>
          <w:sz w:val="22"/>
          <w:szCs w:val="22"/>
          <w:lang w:val="en-US"/>
        </w:rPr>
      </w:pPr>
      <w:r w:rsidRPr="00E1133A">
        <w:rPr>
          <w:rFonts w:ascii="Arial" w:hAnsi="Arial" w:cs="Arial"/>
          <w:sz w:val="22"/>
          <w:szCs w:val="22"/>
          <w:lang w:val="en-US"/>
        </w:rPr>
        <w:t>Cover the cost of road maintenance including pavement rehabilitation and resurfacing to ensure the economic sustainability of this crucial national asset over the life of the project.</w:t>
      </w:r>
    </w:p>
    <w:p w:rsidR="00B706B8" w:rsidRPr="00E1133A" w:rsidRDefault="00B706B8" w:rsidP="00B706B8">
      <w:pPr>
        <w:pStyle w:val="ListParagraph"/>
        <w:numPr>
          <w:ilvl w:val="0"/>
          <w:numId w:val="22"/>
        </w:numPr>
        <w:tabs>
          <w:tab w:val="right" w:pos="7938"/>
        </w:tabs>
        <w:ind w:left="709"/>
        <w:jc w:val="both"/>
        <w:rPr>
          <w:rFonts w:ascii="Arial" w:hAnsi="Arial" w:cs="Arial"/>
          <w:sz w:val="22"/>
          <w:szCs w:val="22"/>
          <w:lang w:val="en-US"/>
        </w:rPr>
      </w:pPr>
      <w:r w:rsidRPr="00E1133A">
        <w:rPr>
          <w:rFonts w:ascii="Arial" w:hAnsi="Arial" w:cs="Arial"/>
          <w:sz w:val="22"/>
          <w:szCs w:val="22"/>
          <w:lang w:val="en-US"/>
        </w:rPr>
        <w:t>Operation and maintenance of the toll collection system, including the toll plazas over the life of the project.</w:t>
      </w:r>
    </w:p>
    <w:p w:rsidR="00B706B8" w:rsidRPr="00E1133A" w:rsidRDefault="00B706B8" w:rsidP="00B706B8">
      <w:pPr>
        <w:pStyle w:val="ListParagraph"/>
        <w:numPr>
          <w:ilvl w:val="0"/>
          <w:numId w:val="22"/>
        </w:numPr>
        <w:tabs>
          <w:tab w:val="right" w:pos="7938"/>
        </w:tabs>
        <w:ind w:left="709"/>
        <w:jc w:val="both"/>
        <w:rPr>
          <w:rFonts w:ascii="Arial" w:hAnsi="Arial" w:cs="Arial"/>
          <w:sz w:val="22"/>
          <w:szCs w:val="22"/>
          <w:lang w:val="en-US"/>
        </w:rPr>
      </w:pPr>
      <w:r w:rsidRPr="00E1133A">
        <w:rPr>
          <w:rFonts w:ascii="Arial" w:hAnsi="Arial" w:cs="Arial"/>
          <w:sz w:val="22"/>
          <w:szCs w:val="22"/>
          <w:lang w:val="en-US"/>
        </w:rPr>
        <w:t>Undertake routine maintenance including grass cutting, minor road repairs, road marking and signage over the life of the project.</w:t>
      </w:r>
    </w:p>
    <w:p w:rsidR="00B706B8" w:rsidRPr="00E1133A" w:rsidRDefault="00B706B8" w:rsidP="00B706B8">
      <w:pPr>
        <w:pStyle w:val="ListParagraph"/>
        <w:numPr>
          <w:ilvl w:val="0"/>
          <w:numId w:val="22"/>
        </w:numPr>
        <w:tabs>
          <w:tab w:val="right" w:pos="7938"/>
        </w:tabs>
        <w:ind w:left="709"/>
        <w:jc w:val="both"/>
        <w:rPr>
          <w:rFonts w:ascii="Arial" w:hAnsi="Arial" w:cs="Arial"/>
          <w:sz w:val="22"/>
          <w:szCs w:val="22"/>
          <w:lang w:val="en-US"/>
        </w:rPr>
      </w:pPr>
      <w:r w:rsidRPr="00E1133A">
        <w:rPr>
          <w:rFonts w:ascii="Arial" w:hAnsi="Arial" w:cs="Arial"/>
          <w:sz w:val="22"/>
          <w:szCs w:val="22"/>
          <w:lang w:val="en-US"/>
        </w:rPr>
        <w:t>Provide route patrols including incident management, emergency response and road user assistance over the life of the project.</w:t>
      </w:r>
    </w:p>
    <w:p w:rsidR="00B706B8" w:rsidRPr="00E1133A" w:rsidRDefault="00B706B8" w:rsidP="00B706B8">
      <w:pPr>
        <w:tabs>
          <w:tab w:val="left" w:pos="709"/>
          <w:tab w:val="right" w:pos="7938"/>
        </w:tabs>
        <w:spacing w:line="276" w:lineRule="auto"/>
        <w:jc w:val="both"/>
        <w:rPr>
          <w:rFonts w:ascii="Arial" w:hAnsi="Arial" w:cs="Arial"/>
          <w:sz w:val="22"/>
          <w:szCs w:val="22"/>
          <w:u w:val="single"/>
          <w:lang w:val="en-US"/>
        </w:rPr>
      </w:pPr>
    </w:p>
    <w:p w:rsidR="00B706B8" w:rsidRPr="00E1133A" w:rsidRDefault="007649B0" w:rsidP="007649B0">
      <w:pPr>
        <w:tabs>
          <w:tab w:val="left" w:pos="567"/>
          <w:tab w:val="right" w:pos="7938"/>
        </w:tabs>
        <w:spacing w:line="276" w:lineRule="auto"/>
        <w:jc w:val="both"/>
        <w:rPr>
          <w:rFonts w:ascii="Arial" w:eastAsia="Calibri" w:hAnsi="Arial" w:cs="Arial"/>
          <w:sz w:val="22"/>
          <w:szCs w:val="22"/>
        </w:rPr>
      </w:pPr>
      <w:r w:rsidRPr="007649B0">
        <w:rPr>
          <w:rFonts w:ascii="Arial" w:hAnsi="Arial" w:cs="Arial"/>
          <w:sz w:val="22"/>
          <w:szCs w:val="22"/>
          <w:lang w:val="en-US"/>
        </w:rPr>
        <w:t xml:space="preserve">(a)(b) </w:t>
      </w:r>
      <w:r w:rsidR="00B706B8" w:rsidRPr="00E1133A">
        <w:rPr>
          <w:rFonts w:ascii="Arial" w:eastAsia="Calibri" w:hAnsi="Arial" w:cs="Arial"/>
          <w:sz w:val="22"/>
          <w:szCs w:val="22"/>
        </w:rPr>
        <w:t xml:space="preserve">Toll revenue along the National Route 3 (N3) </w:t>
      </w:r>
      <w:r>
        <w:rPr>
          <w:rFonts w:ascii="Arial" w:eastAsia="Calibri" w:hAnsi="Arial" w:cs="Arial"/>
          <w:sz w:val="22"/>
          <w:szCs w:val="22"/>
        </w:rPr>
        <w:t xml:space="preserve">per month and year are </w:t>
      </w:r>
      <w:r w:rsidR="00B706B8" w:rsidRPr="00E1133A">
        <w:rPr>
          <w:rFonts w:ascii="Arial" w:eastAsia="Calibri" w:hAnsi="Arial" w:cs="Arial"/>
          <w:sz w:val="22"/>
          <w:szCs w:val="22"/>
        </w:rPr>
        <w:t>derived as follow:</w:t>
      </w:r>
    </w:p>
    <w:p w:rsidR="00B706B8" w:rsidRPr="00E1133A" w:rsidRDefault="00B706B8" w:rsidP="00B706B8">
      <w:pPr>
        <w:spacing w:line="276" w:lineRule="auto"/>
        <w:ind w:left="567"/>
        <w:jc w:val="both"/>
        <w:rPr>
          <w:rFonts w:ascii="Arial" w:eastAsia="Calibri" w:hAnsi="Arial" w:cs="Arial"/>
          <w:sz w:val="22"/>
          <w:szCs w:val="22"/>
        </w:rPr>
      </w:pPr>
    </w:p>
    <w:p w:rsidR="00B706B8" w:rsidRPr="00E1133A" w:rsidRDefault="00B706B8" w:rsidP="00B706B8">
      <w:pPr>
        <w:numPr>
          <w:ilvl w:val="0"/>
          <w:numId w:val="18"/>
        </w:numPr>
        <w:spacing w:line="276" w:lineRule="auto"/>
        <w:ind w:left="709"/>
        <w:jc w:val="both"/>
        <w:rPr>
          <w:rFonts w:ascii="Arial" w:eastAsia="Calibri" w:hAnsi="Arial" w:cs="Arial"/>
          <w:sz w:val="22"/>
          <w:szCs w:val="22"/>
        </w:rPr>
      </w:pPr>
      <w:r w:rsidRPr="00E1133A">
        <w:rPr>
          <w:rFonts w:ascii="Arial" w:eastAsia="Calibri" w:hAnsi="Arial" w:cs="Arial"/>
          <w:sz w:val="22"/>
          <w:szCs w:val="22"/>
        </w:rPr>
        <w:t xml:space="preserve">SANRAL – </w:t>
      </w:r>
      <w:proofErr w:type="spellStart"/>
      <w:r w:rsidRPr="00E1133A">
        <w:rPr>
          <w:rFonts w:ascii="Arial" w:eastAsia="Calibri" w:hAnsi="Arial" w:cs="Arial"/>
          <w:sz w:val="22"/>
          <w:szCs w:val="22"/>
        </w:rPr>
        <w:t>Marrianhill</w:t>
      </w:r>
      <w:proofErr w:type="spellEnd"/>
      <w:r w:rsidRPr="00E1133A">
        <w:rPr>
          <w:rFonts w:ascii="Arial" w:eastAsia="Calibri" w:hAnsi="Arial" w:cs="Arial"/>
          <w:sz w:val="22"/>
          <w:szCs w:val="22"/>
        </w:rPr>
        <w:t xml:space="preserve"> toll plaza - This is state toll road driven by Government with no profit objective, and</w:t>
      </w:r>
    </w:p>
    <w:p w:rsidR="00B706B8" w:rsidRPr="00E1133A" w:rsidRDefault="00B706B8" w:rsidP="00B706B8">
      <w:pPr>
        <w:numPr>
          <w:ilvl w:val="0"/>
          <w:numId w:val="18"/>
        </w:numPr>
        <w:spacing w:line="276" w:lineRule="auto"/>
        <w:ind w:left="709"/>
        <w:jc w:val="both"/>
        <w:rPr>
          <w:rFonts w:ascii="Arial" w:eastAsia="Calibri" w:hAnsi="Arial" w:cs="Arial"/>
          <w:sz w:val="22"/>
          <w:szCs w:val="22"/>
        </w:rPr>
      </w:pPr>
      <w:r w:rsidRPr="00E1133A">
        <w:rPr>
          <w:rFonts w:ascii="Arial" w:eastAsia="Calibri" w:hAnsi="Arial" w:cs="Arial"/>
          <w:sz w:val="22"/>
          <w:szCs w:val="22"/>
        </w:rPr>
        <w:t xml:space="preserve">N3TC Concession -  De </w:t>
      </w:r>
      <w:proofErr w:type="spellStart"/>
      <w:r w:rsidRPr="00E1133A">
        <w:rPr>
          <w:rFonts w:ascii="Arial" w:eastAsia="Calibri" w:hAnsi="Arial" w:cs="Arial"/>
          <w:sz w:val="22"/>
          <w:szCs w:val="22"/>
        </w:rPr>
        <w:t>Hoek</w:t>
      </w:r>
      <w:proofErr w:type="spellEnd"/>
      <w:r w:rsidRPr="00E1133A">
        <w:rPr>
          <w:rFonts w:ascii="Arial" w:eastAsia="Calibri" w:hAnsi="Arial" w:cs="Arial"/>
          <w:sz w:val="22"/>
          <w:szCs w:val="22"/>
        </w:rPr>
        <w:t xml:space="preserve"> Plaza, </w:t>
      </w:r>
      <w:proofErr w:type="spellStart"/>
      <w:r w:rsidRPr="00E1133A">
        <w:rPr>
          <w:rFonts w:ascii="Arial" w:eastAsia="Calibri" w:hAnsi="Arial" w:cs="Arial"/>
          <w:sz w:val="22"/>
          <w:szCs w:val="22"/>
        </w:rPr>
        <w:t>Wilge</w:t>
      </w:r>
      <w:proofErr w:type="spellEnd"/>
      <w:r w:rsidRPr="00E1133A">
        <w:rPr>
          <w:rFonts w:ascii="Arial" w:eastAsia="Calibri" w:hAnsi="Arial" w:cs="Arial"/>
          <w:sz w:val="22"/>
          <w:szCs w:val="22"/>
        </w:rPr>
        <w:t xml:space="preserve"> Plaza, Tugela Plaza, Mooi River Plaza and associated ramp plazas. – This is a 30-year concession with the private sector to secure off balance sheet funding and investment into infrastructure, with the associated private sector investor Return on Investment (ROI) objectives. Returns are however regulated through the concession agreement.    </w:t>
      </w:r>
    </w:p>
    <w:p w:rsidR="00B706B8" w:rsidRPr="00E1133A" w:rsidRDefault="00B706B8" w:rsidP="00B706B8">
      <w:pPr>
        <w:tabs>
          <w:tab w:val="left" w:pos="709"/>
          <w:tab w:val="right" w:pos="7938"/>
        </w:tabs>
        <w:spacing w:line="276" w:lineRule="auto"/>
        <w:ind w:left="360"/>
        <w:jc w:val="both"/>
        <w:rPr>
          <w:rFonts w:ascii="Arial" w:hAnsi="Arial" w:cs="Arial"/>
          <w:sz w:val="22"/>
          <w:szCs w:val="22"/>
          <w:u w:val="single"/>
          <w:lang w:val="en-US"/>
        </w:rPr>
      </w:pPr>
    </w:p>
    <w:p w:rsidR="00B706B8" w:rsidRDefault="00B706B8" w:rsidP="007649B0">
      <w:pPr>
        <w:tabs>
          <w:tab w:val="left" w:pos="709"/>
          <w:tab w:val="right" w:pos="7938"/>
        </w:tabs>
        <w:spacing w:line="276" w:lineRule="auto"/>
        <w:ind w:left="709"/>
        <w:jc w:val="both"/>
        <w:rPr>
          <w:rFonts w:ascii="Arial" w:eastAsia="Calibri" w:hAnsi="Arial" w:cs="Arial"/>
          <w:sz w:val="22"/>
          <w:szCs w:val="22"/>
        </w:rPr>
      </w:pPr>
      <w:r w:rsidRPr="00E1133A">
        <w:rPr>
          <w:rFonts w:ascii="Arial" w:eastAsia="Calibri" w:hAnsi="Arial" w:cs="Arial"/>
          <w:sz w:val="22"/>
          <w:szCs w:val="22"/>
        </w:rPr>
        <w:t>The monthly breakdown for 2019/20 audited financial year is provided in the Table below. The 2019/20 audited financial year is used since 2020/21 audited figures are not yet available. The 2020/21 numbers are expected to be approximately 25% lower due to the COVID-19 pandemic.</w:t>
      </w:r>
    </w:p>
    <w:p w:rsidR="00E6057F" w:rsidRPr="00E1133A" w:rsidRDefault="00E6057F" w:rsidP="007649B0">
      <w:pPr>
        <w:tabs>
          <w:tab w:val="left" w:pos="709"/>
          <w:tab w:val="right" w:pos="7938"/>
        </w:tabs>
        <w:spacing w:line="276" w:lineRule="auto"/>
        <w:ind w:left="709"/>
        <w:jc w:val="both"/>
        <w:rPr>
          <w:rFonts w:ascii="Arial" w:eastAsia="Calibri" w:hAnsi="Arial" w:cs="Arial"/>
          <w:sz w:val="22"/>
          <w:szCs w:val="22"/>
        </w:rPr>
      </w:pPr>
      <w:bookmarkStart w:id="0" w:name="_GoBack"/>
      <w:bookmarkEnd w:id="0"/>
    </w:p>
    <w:p w:rsidR="00B706B8" w:rsidRPr="00E1133A" w:rsidRDefault="00B706B8" w:rsidP="00B706B8">
      <w:pPr>
        <w:tabs>
          <w:tab w:val="left" w:pos="567"/>
          <w:tab w:val="right" w:pos="7938"/>
        </w:tabs>
        <w:spacing w:line="276" w:lineRule="auto"/>
        <w:ind w:left="567"/>
        <w:jc w:val="both"/>
        <w:rPr>
          <w:rFonts w:ascii="Arial" w:hAnsi="Arial" w:cs="Arial"/>
          <w:sz w:val="22"/>
          <w:szCs w:val="22"/>
          <w:lang w:val="en-US"/>
        </w:rPr>
      </w:pPr>
    </w:p>
    <w:tbl>
      <w:tblPr>
        <w:tblW w:w="9073" w:type="dxa"/>
        <w:jc w:val="center"/>
        <w:tblLook w:val="04A0"/>
      </w:tblPr>
      <w:tblGrid>
        <w:gridCol w:w="1469"/>
        <w:gridCol w:w="2539"/>
        <w:gridCol w:w="2655"/>
        <w:gridCol w:w="2410"/>
      </w:tblGrid>
      <w:tr w:rsidR="00B706B8" w:rsidRPr="00E1133A" w:rsidTr="00FA230A">
        <w:trPr>
          <w:trHeight w:val="264"/>
          <w:jc w:val="center"/>
        </w:trPr>
        <w:tc>
          <w:tcPr>
            <w:tcW w:w="14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b/>
                <w:bCs/>
                <w:sz w:val="22"/>
                <w:szCs w:val="22"/>
                <w:lang w:eastAsia="en-GB"/>
              </w:rPr>
            </w:pPr>
            <w:r>
              <w:rPr>
                <w:rFonts w:ascii="Arial" w:hAnsi="Arial" w:cs="Arial"/>
                <w:b/>
                <w:bCs/>
                <w:sz w:val="22"/>
                <w:szCs w:val="22"/>
                <w:lang w:eastAsia="en-GB"/>
              </w:rPr>
              <w:lastRenderedPageBreak/>
              <w:t xml:space="preserve">(a) </w:t>
            </w:r>
            <w:r w:rsidRPr="00E1133A">
              <w:rPr>
                <w:rFonts w:ascii="Arial" w:hAnsi="Arial" w:cs="Arial"/>
                <w:b/>
                <w:bCs/>
                <w:sz w:val="22"/>
                <w:szCs w:val="22"/>
                <w:lang w:eastAsia="en-GB"/>
              </w:rPr>
              <w:t>Month</w:t>
            </w:r>
          </w:p>
        </w:tc>
        <w:tc>
          <w:tcPr>
            <w:tcW w:w="2539" w:type="dxa"/>
            <w:tcBorders>
              <w:top w:val="single" w:sz="4" w:space="0" w:color="auto"/>
              <w:left w:val="nil"/>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b/>
                <w:bCs/>
                <w:sz w:val="22"/>
                <w:szCs w:val="22"/>
                <w:lang w:eastAsia="en-GB"/>
              </w:rPr>
            </w:pPr>
            <w:r w:rsidRPr="00E1133A">
              <w:rPr>
                <w:rFonts w:ascii="Arial" w:hAnsi="Arial" w:cs="Arial"/>
                <w:b/>
                <w:bCs/>
                <w:sz w:val="22"/>
                <w:szCs w:val="22"/>
                <w:lang w:eastAsia="en-GB"/>
              </w:rPr>
              <w:t>SANRAL</w:t>
            </w:r>
          </w:p>
        </w:tc>
        <w:tc>
          <w:tcPr>
            <w:tcW w:w="2655" w:type="dxa"/>
            <w:tcBorders>
              <w:top w:val="single" w:sz="4" w:space="0" w:color="auto"/>
              <w:left w:val="nil"/>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b/>
                <w:bCs/>
                <w:sz w:val="22"/>
                <w:szCs w:val="22"/>
                <w:lang w:eastAsia="en-GB"/>
              </w:rPr>
            </w:pPr>
            <w:r w:rsidRPr="00E1133A">
              <w:rPr>
                <w:rFonts w:ascii="Arial" w:hAnsi="Arial" w:cs="Arial"/>
                <w:b/>
                <w:bCs/>
                <w:sz w:val="22"/>
                <w:szCs w:val="22"/>
                <w:lang w:eastAsia="en-GB"/>
              </w:rPr>
              <w:t>Concession</w:t>
            </w:r>
          </w:p>
        </w:tc>
        <w:tc>
          <w:tcPr>
            <w:tcW w:w="2410" w:type="dxa"/>
            <w:tcBorders>
              <w:top w:val="single" w:sz="4" w:space="0" w:color="auto"/>
              <w:left w:val="nil"/>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b/>
                <w:bCs/>
                <w:sz w:val="22"/>
                <w:szCs w:val="22"/>
                <w:lang w:eastAsia="en-GB"/>
              </w:rPr>
            </w:pPr>
            <w:r w:rsidRPr="00E1133A">
              <w:rPr>
                <w:rFonts w:ascii="Arial" w:hAnsi="Arial" w:cs="Arial"/>
                <w:b/>
                <w:bCs/>
                <w:sz w:val="22"/>
                <w:szCs w:val="22"/>
                <w:lang w:eastAsia="en-GB"/>
              </w:rPr>
              <w:t>Total</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Jan-19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20 648 213.00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153 991 519.00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174 639 732.00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Feb-19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19 574 170.00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145 981 460.00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165 555 630.00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Mar-19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23 042 389.00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171 846 953.00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194 889 342.00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Apr-19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22 039 547.00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164 367 896.00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186 407 443.00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May-19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22 988 554.00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171 445 459.00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194 434 013.00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Jun-19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22 941 076.00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171 091 378.00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194 032 454.00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Jul-19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23 778 803.00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177 339 031.00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201 117 834.00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Aug-19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23 931 447.00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178 477 429.00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202 408 876.00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Sep-19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22 814 467.00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170 147 146.00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192 961 613.00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Oct-19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24 179 326.00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180 326 076.00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204 505 402.00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Nov-19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23 469 829.00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175 034 742.00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198 504 571.00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360" w:lineRule="auto"/>
              <w:jc w:val="center"/>
              <w:rPr>
                <w:rFonts w:ascii="Arial" w:hAnsi="Arial" w:cs="Arial"/>
                <w:sz w:val="22"/>
                <w:szCs w:val="22"/>
                <w:lang w:eastAsia="en-GB"/>
              </w:rPr>
            </w:pPr>
            <w:r w:rsidRPr="00E1133A">
              <w:rPr>
                <w:rFonts w:ascii="Arial" w:hAnsi="Arial" w:cs="Arial"/>
                <w:sz w:val="22"/>
                <w:szCs w:val="22"/>
                <w:lang w:eastAsia="en-GB"/>
              </w:rPr>
              <w:t>Dec-19</w:t>
            </w:r>
          </w:p>
        </w:tc>
        <w:tc>
          <w:tcPr>
            <w:tcW w:w="2539"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23 059 412.00 </w:t>
            </w:r>
          </w:p>
        </w:tc>
        <w:tc>
          <w:tcPr>
            <w:tcW w:w="2655"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right="318"/>
              <w:jc w:val="right"/>
              <w:rPr>
                <w:rFonts w:ascii="Arial" w:hAnsi="Arial" w:cs="Arial"/>
                <w:sz w:val="22"/>
                <w:szCs w:val="22"/>
                <w:lang w:eastAsia="en-GB"/>
              </w:rPr>
            </w:pPr>
            <w:r w:rsidRPr="00E1133A">
              <w:rPr>
                <w:rFonts w:ascii="Arial" w:hAnsi="Arial" w:cs="Arial"/>
                <w:sz w:val="22"/>
                <w:szCs w:val="22"/>
                <w:lang w:eastAsia="en-GB"/>
              </w:rPr>
              <w:t xml:space="preserve"> R    171 973 911.00 </w:t>
            </w:r>
          </w:p>
        </w:tc>
        <w:tc>
          <w:tcPr>
            <w:tcW w:w="2410" w:type="dxa"/>
            <w:tcBorders>
              <w:top w:val="nil"/>
              <w:left w:val="nil"/>
              <w:bottom w:val="single" w:sz="4" w:space="0" w:color="auto"/>
              <w:right w:val="single" w:sz="4" w:space="0" w:color="auto"/>
            </w:tcBorders>
            <w:shd w:val="clear" w:color="auto" w:fill="auto"/>
            <w:noWrap/>
            <w:vAlign w:val="bottom"/>
            <w:hideMark/>
          </w:tcPr>
          <w:p w:rsidR="00B706B8" w:rsidRPr="00E1133A" w:rsidRDefault="00B706B8" w:rsidP="00FA230A">
            <w:pPr>
              <w:spacing w:line="360" w:lineRule="auto"/>
              <w:ind w:left="-242" w:right="318"/>
              <w:jc w:val="right"/>
              <w:rPr>
                <w:rFonts w:ascii="Arial" w:hAnsi="Arial" w:cs="Arial"/>
                <w:sz w:val="22"/>
                <w:szCs w:val="22"/>
                <w:lang w:eastAsia="en-GB"/>
              </w:rPr>
            </w:pPr>
            <w:r w:rsidRPr="00E1133A">
              <w:rPr>
                <w:rFonts w:ascii="Arial" w:hAnsi="Arial" w:cs="Arial"/>
                <w:sz w:val="22"/>
                <w:szCs w:val="22"/>
                <w:lang w:eastAsia="en-GB"/>
              </w:rPr>
              <w:t xml:space="preserve"> R    195 033 323.00 </w:t>
            </w:r>
          </w:p>
        </w:tc>
      </w:tr>
      <w:tr w:rsidR="00B706B8" w:rsidRPr="00E1133A" w:rsidTr="00FA230A">
        <w:trPr>
          <w:trHeight w:val="264"/>
          <w:jc w:val="center"/>
        </w:trPr>
        <w:tc>
          <w:tcPr>
            <w:tcW w:w="1469" w:type="dxa"/>
            <w:tcBorders>
              <w:top w:val="nil"/>
              <w:left w:val="single" w:sz="4" w:space="0" w:color="auto"/>
              <w:bottom w:val="single" w:sz="4" w:space="0" w:color="auto"/>
              <w:right w:val="single" w:sz="4" w:space="0" w:color="auto"/>
            </w:tcBorders>
            <w:shd w:val="clear" w:color="000000" w:fill="F2F2F2"/>
            <w:noWrap/>
            <w:vAlign w:val="bottom"/>
            <w:hideMark/>
          </w:tcPr>
          <w:p w:rsidR="00B706B8" w:rsidRPr="00E1133A" w:rsidRDefault="00B706B8" w:rsidP="00FA230A">
            <w:pPr>
              <w:spacing w:line="276" w:lineRule="auto"/>
              <w:jc w:val="center"/>
              <w:rPr>
                <w:rFonts w:ascii="Arial" w:hAnsi="Arial" w:cs="Arial"/>
                <w:b/>
                <w:bCs/>
                <w:sz w:val="22"/>
                <w:szCs w:val="22"/>
                <w:lang w:eastAsia="en-GB"/>
              </w:rPr>
            </w:pPr>
            <w:r>
              <w:rPr>
                <w:rFonts w:ascii="Arial" w:hAnsi="Arial" w:cs="Arial"/>
                <w:b/>
                <w:bCs/>
                <w:sz w:val="22"/>
                <w:szCs w:val="22"/>
                <w:lang w:eastAsia="en-GB"/>
              </w:rPr>
              <w:t xml:space="preserve">(b) </w:t>
            </w:r>
            <w:r w:rsidRPr="00E1133A">
              <w:rPr>
                <w:rFonts w:ascii="Arial" w:hAnsi="Arial" w:cs="Arial"/>
                <w:b/>
                <w:bCs/>
                <w:sz w:val="22"/>
                <w:szCs w:val="22"/>
                <w:lang w:eastAsia="en-GB"/>
              </w:rPr>
              <w:t>Total</w:t>
            </w:r>
            <w:r>
              <w:rPr>
                <w:rFonts w:ascii="Arial" w:hAnsi="Arial" w:cs="Arial"/>
                <w:b/>
                <w:bCs/>
                <w:sz w:val="22"/>
                <w:szCs w:val="22"/>
                <w:lang w:eastAsia="en-GB"/>
              </w:rPr>
              <w:t xml:space="preserve">  2019/20 FY</w:t>
            </w:r>
          </w:p>
        </w:tc>
        <w:tc>
          <w:tcPr>
            <w:tcW w:w="2539" w:type="dxa"/>
            <w:tcBorders>
              <w:top w:val="nil"/>
              <w:left w:val="nil"/>
              <w:bottom w:val="single" w:sz="4" w:space="0" w:color="auto"/>
              <w:right w:val="single" w:sz="4" w:space="0" w:color="auto"/>
            </w:tcBorders>
            <w:shd w:val="clear" w:color="000000" w:fill="F2F2F2"/>
            <w:noWrap/>
            <w:vAlign w:val="center"/>
            <w:hideMark/>
          </w:tcPr>
          <w:p w:rsidR="00B706B8" w:rsidRPr="00E1133A" w:rsidRDefault="00B706B8" w:rsidP="00FA230A">
            <w:pPr>
              <w:spacing w:line="276" w:lineRule="auto"/>
              <w:ind w:right="318"/>
              <w:rPr>
                <w:rFonts w:ascii="Arial" w:hAnsi="Arial" w:cs="Arial"/>
                <w:sz w:val="22"/>
                <w:szCs w:val="22"/>
                <w:lang w:eastAsia="en-GB"/>
              </w:rPr>
            </w:pPr>
            <w:r w:rsidRPr="00E1133A">
              <w:rPr>
                <w:rFonts w:ascii="Arial" w:hAnsi="Arial" w:cs="Arial"/>
                <w:sz w:val="22"/>
                <w:szCs w:val="22"/>
                <w:lang w:eastAsia="en-GB"/>
              </w:rPr>
              <w:t>R 272 467 233.00</w:t>
            </w:r>
          </w:p>
        </w:tc>
        <w:tc>
          <w:tcPr>
            <w:tcW w:w="2655" w:type="dxa"/>
            <w:tcBorders>
              <w:top w:val="nil"/>
              <w:left w:val="nil"/>
              <w:bottom w:val="single" w:sz="4" w:space="0" w:color="auto"/>
              <w:right w:val="single" w:sz="4" w:space="0" w:color="auto"/>
            </w:tcBorders>
            <w:shd w:val="clear" w:color="000000" w:fill="F2F2F2"/>
            <w:noWrap/>
            <w:vAlign w:val="center"/>
            <w:hideMark/>
          </w:tcPr>
          <w:p w:rsidR="00B706B8" w:rsidRPr="00E1133A" w:rsidRDefault="00B706B8" w:rsidP="00FA230A">
            <w:pPr>
              <w:spacing w:line="276" w:lineRule="auto"/>
              <w:ind w:right="318"/>
              <w:rPr>
                <w:rFonts w:ascii="Arial" w:hAnsi="Arial" w:cs="Arial"/>
                <w:sz w:val="22"/>
                <w:szCs w:val="22"/>
                <w:lang w:eastAsia="en-GB"/>
              </w:rPr>
            </w:pPr>
            <w:r w:rsidRPr="00E1133A">
              <w:rPr>
                <w:rFonts w:ascii="Arial" w:hAnsi="Arial" w:cs="Arial"/>
                <w:sz w:val="22"/>
                <w:szCs w:val="22"/>
                <w:lang w:eastAsia="en-GB"/>
              </w:rPr>
              <w:t>R 2 032 023 000.00</w:t>
            </w:r>
          </w:p>
        </w:tc>
        <w:tc>
          <w:tcPr>
            <w:tcW w:w="2410" w:type="dxa"/>
            <w:tcBorders>
              <w:top w:val="nil"/>
              <w:left w:val="nil"/>
              <w:bottom w:val="single" w:sz="4" w:space="0" w:color="auto"/>
              <w:right w:val="single" w:sz="4" w:space="0" w:color="auto"/>
            </w:tcBorders>
            <w:shd w:val="clear" w:color="000000" w:fill="F2F2F2"/>
            <w:noWrap/>
            <w:vAlign w:val="center"/>
            <w:hideMark/>
          </w:tcPr>
          <w:p w:rsidR="00B706B8" w:rsidRPr="00E1133A" w:rsidRDefault="00B706B8" w:rsidP="00FA230A">
            <w:pPr>
              <w:spacing w:line="276" w:lineRule="auto"/>
              <w:ind w:left="-116" w:right="318"/>
              <w:rPr>
                <w:rFonts w:ascii="Arial" w:hAnsi="Arial" w:cs="Arial"/>
                <w:sz w:val="22"/>
                <w:szCs w:val="22"/>
                <w:lang w:eastAsia="en-GB"/>
              </w:rPr>
            </w:pPr>
            <w:r w:rsidRPr="00E1133A">
              <w:rPr>
                <w:rFonts w:ascii="Arial" w:hAnsi="Arial" w:cs="Arial"/>
                <w:sz w:val="22"/>
                <w:szCs w:val="22"/>
                <w:lang w:eastAsia="en-GB"/>
              </w:rPr>
              <w:t>R 2 304 490 233.00</w:t>
            </w:r>
          </w:p>
        </w:tc>
      </w:tr>
    </w:tbl>
    <w:p w:rsidR="00FA54F7" w:rsidRPr="00FD7E25" w:rsidRDefault="00FA54F7" w:rsidP="00107B84">
      <w:pPr>
        <w:tabs>
          <w:tab w:val="left" w:pos="540"/>
          <w:tab w:val="left" w:pos="1080"/>
          <w:tab w:val="left" w:pos="1620"/>
          <w:tab w:val="left" w:pos="2340"/>
        </w:tabs>
        <w:spacing w:line="360" w:lineRule="auto"/>
        <w:jc w:val="both"/>
        <w:rPr>
          <w:rFonts w:ascii="Arial" w:hAnsi="Arial" w:cs="Arial"/>
          <w:bCs/>
          <w:color w:val="FF0000"/>
          <w:sz w:val="22"/>
          <w:szCs w:val="22"/>
          <w:lang w:val="en-US"/>
        </w:rPr>
      </w:pPr>
    </w:p>
    <w:sectPr w:rsidR="00FA54F7" w:rsidRPr="00FD7E25" w:rsidSect="00107B84">
      <w:headerReference w:type="default" r:id="rId7"/>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FE" w:rsidRDefault="004F3FFE">
      <w:r>
        <w:separator/>
      </w:r>
    </w:p>
  </w:endnote>
  <w:endnote w:type="continuationSeparator" w:id="0">
    <w:p w:rsidR="004F3FFE" w:rsidRDefault="004F3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FE" w:rsidRDefault="004F3FFE">
      <w:r>
        <w:separator/>
      </w:r>
    </w:p>
  </w:footnote>
  <w:footnote w:type="continuationSeparator" w:id="0">
    <w:p w:rsidR="004F3FFE" w:rsidRDefault="004F3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08" w:rsidRDefault="00125294">
    <w:pPr>
      <w:pStyle w:val="Header"/>
    </w:pPr>
    <w:r>
      <w:rPr>
        <w:noProof/>
        <w:lang w:val="en-ZA" w:eastAsia="en-ZA"/>
      </w:rPr>
      <w:pict>
        <v:shapetype id="_x0000_t202" coordsize="21600,21600" o:spt="202" path="m,l,21600r21600,l21600,xe">
          <v:stroke joinstyle="miter"/>
          <v:path gradientshapeok="t" o:connecttype="rect"/>
        </v:shapetype>
        <v:shape id="MSIPCM063c471699ffacbdfd58b7c5" o:spid="_x0000_s4097" type="#_x0000_t202" alt="{&quot;HashCode&quot;:-746171278,&quot;Height&quot;:792.0,&quot;Width&quot;:612.0,&quot;Placement&quot;:&quot;Header&quot;,&quot;Index&quot;:&quot;Primary&quot;,&quot;Section&quot;:1,&quot;Top&quot;:0.0,&quot;Left&quot;:0.0}" style="position:absolute;margin-left:0;margin-top:15pt;width:612pt;height:21.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" o:allowincell="f" filled="f" stroked="f">
          <v:textbox inset="20pt,0,,0">
            <w:txbxContent>
              <w:p w:rsidR="00041908" w:rsidRPr="00041908" w:rsidRDefault="00041908" w:rsidP="00041908">
                <w:pPr>
                  <w:rPr>
                    <w:rFonts w:ascii="Calibri" w:hAnsi="Calibri" w:cs="Calibri"/>
                    <w:color w:val="000000"/>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752632E"/>
    <w:multiLevelType w:val="hybridMultilevel"/>
    <w:tmpl w:val="3DC4D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4F3448A"/>
    <w:multiLevelType w:val="hybridMultilevel"/>
    <w:tmpl w:val="615C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170A6F"/>
    <w:multiLevelType w:val="hybridMultilevel"/>
    <w:tmpl w:val="F20E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2480F50"/>
    <w:multiLevelType w:val="hybridMultilevel"/>
    <w:tmpl w:val="4E5698B2"/>
    <w:lvl w:ilvl="0" w:tplc="39F01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606FB0"/>
    <w:multiLevelType w:val="hybridMultilevel"/>
    <w:tmpl w:val="F2148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7"/>
  </w:num>
  <w:num w:numId="4">
    <w:abstractNumId w:val="19"/>
  </w:num>
  <w:num w:numId="5">
    <w:abstractNumId w:val="12"/>
  </w:num>
  <w:num w:numId="6">
    <w:abstractNumId w:val="10"/>
  </w:num>
  <w:num w:numId="7">
    <w:abstractNumId w:val="6"/>
  </w:num>
  <w:num w:numId="8">
    <w:abstractNumId w:val="2"/>
  </w:num>
  <w:num w:numId="9">
    <w:abstractNumId w:val="15"/>
  </w:num>
  <w:num w:numId="10">
    <w:abstractNumId w:val="5"/>
  </w:num>
  <w:num w:numId="11">
    <w:abstractNumId w:val="3"/>
  </w:num>
  <w:num w:numId="12">
    <w:abstractNumId w:val="8"/>
  </w:num>
  <w:num w:numId="13">
    <w:abstractNumId w:val="1"/>
  </w:num>
  <w:num w:numId="14">
    <w:abstractNumId w:val="18"/>
  </w:num>
  <w:num w:numId="15">
    <w:abstractNumId w:val="11"/>
  </w:num>
  <w:num w:numId="16">
    <w:abstractNumId w:val="16"/>
  </w:num>
  <w:num w:numId="17">
    <w:abstractNumId w:val="0"/>
  </w:num>
  <w:num w:numId="18">
    <w:abstractNumId w:val="9"/>
  </w:num>
  <w:num w:numId="19">
    <w:abstractNumId w:val="14"/>
  </w:num>
  <w:num w:numId="20">
    <w:abstractNumId w:val="20"/>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E6EEB"/>
    <w:rsid w:val="00014DCA"/>
    <w:rsid w:val="00020051"/>
    <w:rsid w:val="000312DA"/>
    <w:rsid w:val="0004110B"/>
    <w:rsid w:val="00041908"/>
    <w:rsid w:val="00052E60"/>
    <w:rsid w:val="00064000"/>
    <w:rsid w:val="000C1034"/>
    <w:rsid w:val="000D2FCC"/>
    <w:rsid w:val="000E46E0"/>
    <w:rsid w:val="00107B84"/>
    <w:rsid w:val="00117CAE"/>
    <w:rsid w:val="00125294"/>
    <w:rsid w:val="00130913"/>
    <w:rsid w:val="001A6EB5"/>
    <w:rsid w:val="001B3A9C"/>
    <w:rsid w:val="001C0016"/>
    <w:rsid w:val="001E56FC"/>
    <w:rsid w:val="001F04AB"/>
    <w:rsid w:val="00233564"/>
    <w:rsid w:val="00237995"/>
    <w:rsid w:val="00237C59"/>
    <w:rsid w:val="00244AB8"/>
    <w:rsid w:val="00245F2B"/>
    <w:rsid w:val="00246E65"/>
    <w:rsid w:val="00252FE4"/>
    <w:rsid w:val="002539E7"/>
    <w:rsid w:val="00265C57"/>
    <w:rsid w:val="00275A85"/>
    <w:rsid w:val="002765E6"/>
    <w:rsid w:val="00287706"/>
    <w:rsid w:val="002B14DC"/>
    <w:rsid w:val="002B33E9"/>
    <w:rsid w:val="003148C1"/>
    <w:rsid w:val="00337C35"/>
    <w:rsid w:val="00370373"/>
    <w:rsid w:val="0037735D"/>
    <w:rsid w:val="0038074E"/>
    <w:rsid w:val="0038097C"/>
    <w:rsid w:val="00395FAB"/>
    <w:rsid w:val="003B40D2"/>
    <w:rsid w:val="003D1344"/>
    <w:rsid w:val="003D7A28"/>
    <w:rsid w:val="003E6EEB"/>
    <w:rsid w:val="003E7A1C"/>
    <w:rsid w:val="0040324C"/>
    <w:rsid w:val="00411BD1"/>
    <w:rsid w:val="00411F12"/>
    <w:rsid w:val="00425DD5"/>
    <w:rsid w:val="00431FFB"/>
    <w:rsid w:val="00437E91"/>
    <w:rsid w:val="00471AD3"/>
    <w:rsid w:val="00472745"/>
    <w:rsid w:val="00485272"/>
    <w:rsid w:val="00494EB0"/>
    <w:rsid w:val="004C27A2"/>
    <w:rsid w:val="004D3091"/>
    <w:rsid w:val="004F3FFE"/>
    <w:rsid w:val="004F551A"/>
    <w:rsid w:val="00510ACC"/>
    <w:rsid w:val="00532EE7"/>
    <w:rsid w:val="0053543F"/>
    <w:rsid w:val="005C31F0"/>
    <w:rsid w:val="00607381"/>
    <w:rsid w:val="00611598"/>
    <w:rsid w:val="00636266"/>
    <w:rsid w:val="006532B9"/>
    <w:rsid w:val="00661147"/>
    <w:rsid w:val="00666D4D"/>
    <w:rsid w:val="00673B92"/>
    <w:rsid w:val="00675536"/>
    <w:rsid w:val="00677616"/>
    <w:rsid w:val="00682176"/>
    <w:rsid w:val="006B2B5E"/>
    <w:rsid w:val="007058EE"/>
    <w:rsid w:val="00707CAC"/>
    <w:rsid w:val="00721181"/>
    <w:rsid w:val="007269C6"/>
    <w:rsid w:val="007341C8"/>
    <w:rsid w:val="007411DF"/>
    <w:rsid w:val="007649B0"/>
    <w:rsid w:val="00765CB9"/>
    <w:rsid w:val="007B119F"/>
    <w:rsid w:val="007C3628"/>
    <w:rsid w:val="007C49D3"/>
    <w:rsid w:val="007D1DB5"/>
    <w:rsid w:val="007F4FB6"/>
    <w:rsid w:val="00833382"/>
    <w:rsid w:val="00837672"/>
    <w:rsid w:val="008415E3"/>
    <w:rsid w:val="00854EEA"/>
    <w:rsid w:val="00857E66"/>
    <w:rsid w:val="00885491"/>
    <w:rsid w:val="0088592E"/>
    <w:rsid w:val="008B4A9F"/>
    <w:rsid w:val="008C423C"/>
    <w:rsid w:val="008D2789"/>
    <w:rsid w:val="008D33A8"/>
    <w:rsid w:val="008F0611"/>
    <w:rsid w:val="009007BA"/>
    <w:rsid w:val="00901757"/>
    <w:rsid w:val="00930E6A"/>
    <w:rsid w:val="0095751E"/>
    <w:rsid w:val="00970C1F"/>
    <w:rsid w:val="009837A4"/>
    <w:rsid w:val="009A75BD"/>
    <w:rsid w:val="009B47B9"/>
    <w:rsid w:val="009C2DDB"/>
    <w:rsid w:val="009C55EF"/>
    <w:rsid w:val="009F40C5"/>
    <w:rsid w:val="00A054A7"/>
    <w:rsid w:val="00A14605"/>
    <w:rsid w:val="00A24093"/>
    <w:rsid w:val="00A31A87"/>
    <w:rsid w:val="00A4109D"/>
    <w:rsid w:val="00A62B67"/>
    <w:rsid w:val="00A73943"/>
    <w:rsid w:val="00A74B01"/>
    <w:rsid w:val="00A80870"/>
    <w:rsid w:val="00A8589C"/>
    <w:rsid w:val="00AA3867"/>
    <w:rsid w:val="00AD07F0"/>
    <w:rsid w:val="00AD7A5B"/>
    <w:rsid w:val="00B70328"/>
    <w:rsid w:val="00B706B8"/>
    <w:rsid w:val="00B80C95"/>
    <w:rsid w:val="00B83217"/>
    <w:rsid w:val="00BA0A9C"/>
    <w:rsid w:val="00BC22EA"/>
    <w:rsid w:val="00C05431"/>
    <w:rsid w:val="00C23CD0"/>
    <w:rsid w:val="00C56433"/>
    <w:rsid w:val="00C7054F"/>
    <w:rsid w:val="00C815E6"/>
    <w:rsid w:val="00C9190C"/>
    <w:rsid w:val="00C951CC"/>
    <w:rsid w:val="00CC12C9"/>
    <w:rsid w:val="00CD56BE"/>
    <w:rsid w:val="00CD612E"/>
    <w:rsid w:val="00CE11EF"/>
    <w:rsid w:val="00CE4231"/>
    <w:rsid w:val="00CE4DC7"/>
    <w:rsid w:val="00CF46F2"/>
    <w:rsid w:val="00D30F17"/>
    <w:rsid w:val="00D76D32"/>
    <w:rsid w:val="00D81E57"/>
    <w:rsid w:val="00D92FF6"/>
    <w:rsid w:val="00DA3F5F"/>
    <w:rsid w:val="00DB7340"/>
    <w:rsid w:val="00DE784E"/>
    <w:rsid w:val="00DF3929"/>
    <w:rsid w:val="00E1133A"/>
    <w:rsid w:val="00E3479A"/>
    <w:rsid w:val="00E42C01"/>
    <w:rsid w:val="00E51CF2"/>
    <w:rsid w:val="00E6057F"/>
    <w:rsid w:val="00E72538"/>
    <w:rsid w:val="00EB4F6D"/>
    <w:rsid w:val="00EB6262"/>
    <w:rsid w:val="00EC3A80"/>
    <w:rsid w:val="00EF4F84"/>
    <w:rsid w:val="00F47916"/>
    <w:rsid w:val="00F54B7D"/>
    <w:rsid w:val="00F72FDD"/>
    <w:rsid w:val="00F81A73"/>
    <w:rsid w:val="00F924CF"/>
    <w:rsid w:val="00FA1A1D"/>
    <w:rsid w:val="00FA54F7"/>
    <w:rsid w:val="00FC49AD"/>
    <w:rsid w:val="00FC63AA"/>
    <w:rsid w:val="00FC7242"/>
    <w:rsid w:val="00FD4470"/>
    <w:rsid w:val="00FD7771"/>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val="en-ZA"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41908"/>
    <w:pPr>
      <w:tabs>
        <w:tab w:val="center" w:pos="4513"/>
        <w:tab w:val="right" w:pos="9026"/>
      </w:tabs>
    </w:pPr>
  </w:style>
  <w:style w:type="character" w:customStyle="1" w:styleId="HeaderChar">
    <w:name w:val="Header Char"/>
    <w:basedOn w:val="DefaultParagraphFont"/>
    <w:link w:val="Header"/>
    <w:rsid w:val="00041908"/>
    <w:rPr>
      <w:rFonts w:ascii="Footlight MT Light" w:hAnsi="Footlight MT Light"/>
      <w:sz w:val="24"/>
      <w:lang w:eastAsia="en-US"/>
    </w:rPr>
  </w:style>
  <w:style w:type="paragraph" w:styleId="Footer">
    <w:name w:val="footer"/>
    <w:basedOn w:val="Normal"/>
    <w:link w:val="FooterChar"/>
    <w:rsid w:val="00041908"/>
    <w:pPr>
      <w:tabs>
        <w:tab w:val="center" w:pos="4513"/>
        <w:tab w:val="right" w:pos="9026"/>
      </w:tabs>
    </w:pPr>
  </w:style>
  <w:style w:type="character" w:customStyle="1" w:styleId="FooterChar">
    <w:name w:val="Footer Char"/>
    <w:basedOn w:val="DefaultParagraphFont"/>
    <w:link w:val="Footer"/>
    <w:rsid w:val="00041908"/>
    <w:rPr>
      <w:rFonts w:ascii="Footlight MT Light" w:hAnsi="Footlight MT Ligh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val="en-ZA"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41908"/>
    <w:pPr>
      <w:tabs>
        <w:tab w:val="center" w:pos="4513"/>
        <w:tab w:val="right" w:pos="9026"/>
      </w:tabs>
    </w:pPr>
  </w:style>
  <w:style w:type="character" w:customStyle="1" w:styleId="HeaderChar">
    <w:name w:val="Header Char"/>
    <w:basedOn w:val="DefaultParagraphFont"/>
    <w:link w:val="Header"/>
    <w:rsid w:val="00041908"/>
    <w:rPr>
      <w:rFonts w:ascii="Footlight MT Light" w:hAnsi="Footlight MT Light"/>
      <w:sz w:val="24"/>
      <w:lang w:eastAsia="en-US"/>
    </w:rPr>
  </w:style>
  <w:style w:type="paragraph" w:styleId="Footer">
    <w:name w:val="footer"/>
    <w:basedOn w:val="Normal"/>
    <w:link w:val="FooterChar"/>
    <w:rsid w:val="00041908"/>
    <w:pPr>
      <w:tabs>
        <w:tab w:val="center" w:pos="4513"/>
        <w:tab w:val="right" w:pos="9026"/>
      </w:tabs>
    </w:pPr>
  </w:style>
  <w:style w:type="character" w:customStyle="1" w:styleId="FooterChar">
    <w:name w:val="Footer Char"/>
    <w:basedOn w:val="DefaultParagraphFont"/>
    <w:link w:val="Footer"/>
    <w:rsid w:val="00041908"/>
    <w:rPr>
      <w:rFonts w:ascii="Footlight MT Light" w:hAnsi="Footlight MT Light"/>
      <w:sz w:val="24"/>
      <w:lang w:eastAsia="en-US"/>
    </w:rPr>
  </w:style>
</w:styles>
</file>

<file path=word/webSettings.xml><?xml version="1.0" encoding="utf-8"?>
<w:webSettings xmlns:r="http://schemas.openxmlformats.org/officeDocument/2006/relationships" xmlns:w="http://schemas.openxmlformats.org/wordprocessingml/2006/main">
  <w:divs>
    <w:div w:id="94323543">
      <w:bodyDiv w:val="1"/>
      <w:marLeft w:val="0"/>
      <w:marRight w:val="0"/>
      <w:marTop w:val="0"/>
      <w:marBottom w:val="0"/>
      <w:divBdr>
        <w:top w:val="none" w:sz="0" w:space="0" w:color="auto"/>
        <w:left w:val="none" w:sz="0" w:space="0" w:color="auto"/>
        <w:bottom w:val="none" w:sz="0" w:space="0" w:color="auto"/>
        <w:right w:val="none" w:sz="0" w:space="0" w:color="auto"/>
      </w:divBdr>
    </w:div>
    <w:div w:id="1985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2021-03-12T08:08:00Z</cp:lastPrinted>
  <dcterms:created xsi:type="dcterms:W3CDTF">2021-04-12T12:22:00Z</dcterms:created>
  <dcterms:modified xsi:type="dcterms:W3CDTF">2021-04-12T12:22:00Z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24da7-7918-49c2-a744-b84d0bf2c679_Enabled">
    <vt:lpwstr>true</vt:lpwstr>
  </property>
  <property fmtid="{D5CDD505-2E9C-101B-9397-08002B2CF9AE}" pid="3" name="MSIP_Label_5a024da7-7918-49c2-a744-b84d0bf2c679_SetDate">
    <vt:lpwstr>2021-03-09T15:18:36Z</vt:lpwstr>
  </property>
  <property fmtid="{D5CDD505-2E9C-101B-9397-08002B2CF9AE}" pid="4" name="MSIP_Label_5a024da7-7918-49c2-a744-b84d0bf2c679_Method">
    <vt:lpwstr>Standard</vt:lpwstr>
  </property>
  <property fmtid="{D5CDD505-2E9C-101B-9397-08002B2CF9AE}" pid="5" name="MSIP_Label_5a024da7-7918-49c2-a744-b84d0bf2c679_Name">
    <vt:lpwstr>General</vt:lpwstr>
  </property>
  <property fmtid="{D5CDD505-2E9C-101B-9397-08002B2CF9AE}" pid="6" name="MSIP_Label_5a024da7-7918-49c2-a744-b84d0bf2c679_SiteId">
    <vt:lpwstr>24236235-bb51-454e-8f47-206699c7e33b</vt:lpwstr>
  </property>
  <property fmtid="{D5CDD505-2E9C-101B-9397-08002B2CF9AE}" pid="7" name="MSIP_Label_5a024da7-7918-49c2-a744-b84d0bf2c679_ActionId">
    <vt:lpwstr>04183757-01e2-4d30-82ef-5237e7e30440</vt:lpwstr>
  </property>
  <property fmtid="{D5CDD505-2E9C-101B-9397-08002B2CF9AE}" pid="8" name="MSIP_Label_5a024da7-7918-49c2-a744-b84d0bf2c679_ContentBits">
    <vt:lpwstr>1</vt:lpwstr>
  </property>
</Properties>
</file>