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DC309C">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DC309C">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176CD">
        <w:rPr>
          <w:rFonts w:cs="Arial"/>
          <w:sz w:val="22"/>
          <w:szCs w:val="22"/>
          <w:u w:val="none"/>
          <w:lang w:val="en-ZA"/>
        </w:rPr>
        <w:t>640</w:t>
      </w:r>
    </w:p>
    <w:p w:rsidR="00795444" w:rsidRDefault="00795444" w:rsidP="00DC309C">
      <w:pPr>
        <w:jc w:val="both"/>
        <w:rPr>
          <w:lang w:val="en-ZA" w:eastAsia="x-none"/>
        </w:rPr>
      </w:pPr>
    </w:p>
    <w:p w:rsidR="00F176CD" w:rsidRPr="008E1031" w:rsidRDefault="00F176CD" w:rsidP="00DC309C">
      <w:pPr>
        <w:spacing w:before="100" w:beforeAutospacing="1" w:after="100" w:afterAutospacing="1" w:line="240" w:lineRule="auto"/>
        <w:ind w:left="720" w:hanging="720"/>
        <w:jc w:val="both"/>
        <w:outlineLvl w:val="0"/>
        <w:rPr>
          <w:rFonts w:ascii="Times New Roman" w:hAnsi="Times New Roman" w:cs="Times New Roman"/>
          <w:b/>
          <w:sz w:val="24"/>
          <w:szCs w:val="24"/>
        </w:rPr>
      </w:pPr>
      <w:r>
        <w:rPr>
          <w:rFonts w:ascii="Times New Roman" w:hAnsi="Times New Roman" w:cs="Times New Roman"/>
          <w:b/>
          <w:sz w:val="24"/>
          <w:szCs w:val="24"/>
        </w:rPr>
        <w:t>640.</w:t>
      </w:r>
      <w:r>
        <w:rPr>
          <w:rFonts w:ascii="Times New Roman" w:hAnsi="Times New Roman" w:cs="Times New Roman"/>
          <w:b/>
          <w:sz w:val="24"/>
          <w:szCs w:val="24"/>
        </w:rPr>
        <w:tab/>
      </w:r>
      <w:proofErr w:type="spellStart"/>
      <w:r w:rsidRPr="008E1031">
        <w:rPr>
          <w:rFonts w:ascii="Times New Roman" w:hAnsi="Times New Roman" w:cs="Times New Roman"/>
          <w:b/>
          <w:sz w:val="24"/>
          <w:szCs w:val="24"/>
        </w:rPr>
        <w:t>Mr</w:t>
      </w:r>
      <w:proofErr w:type="spellEnd"/>
      <w:r w:rsidRPr="008E1031">
        <w:rPr>
          <w:rFonts w:ascii="Times New Roman" w:hAnsi="Times New Roman" w:cs="Times New Roman"/>
          <w:b/>
          <w:sz w:val="24"/>
          <w:szCs w:val="24"/>
        </w:rPr>
        <w:t xml:space="preserve"> D America (DA) to </w:t>
      </w:r>
      <w:r w:rsidRPr="00BE3F0F">
        <w:rPr>
          <w:rFonts w:ascii="Times New Roman" w:eastAsia="Times New Roman" w:hAnsi="Times New Roman" w:cs="Times New Roman"/>
          <w:b/>
          <w:sz w:val="24"/>
          <w:szCs w:val="24"/>
        </w:rPr>
        <w:t>ask</w:t>
      </w:r>
      <w:r w:rsidRPr="008E1031">
        <w:rPr>
          <w:rFonts w:ascii="Times New Roman" w:hAnsi="Times New Roman" w:cs="Times New Roman"/>
          <w:b/>
          <w:sz w:val="24"/>
          <w:szCs w:val="24"/>
        </w:rPr>
        <w:t xml:space="preserve"> the Minister of Transport:</w:t>
      </w:r>
    </w:p>
    <w:p w:rsidR="00F176CD" w:rsidRPr="00C520F5" w:rsidRDefault="00F176CD" w:rsidP="00DC309C">
      <w:pPr>
        <w:spacing w:before="100" w:beforeAutospacing="1" w:after="100" w:afterAutospacing="1" w:line="240" w:lineRule="auto"/>
        <w:ind w:left="1440" w:hanging="720"/>
        <w:jc w:val="both"/>
        <w:rPr>
          <w:rFonts w:ascii="Arial" w:hAnsi="Arial" w:cs="Arial"/>
        </w:rPr>
      </w:pPr>
      <w:r w:rsidRPr="008E1031">
        <w:rPr>
          <w:rFonts w:ascii="Times New Roman" w:hAnsi="Times New Roman" w:cs="Times New Roman"/>
          <w:sz w:val="24"/>
          <w:szCs w:val="24"/>
        </w:rPr>
        <w:t>(1)</w:t>
      </w:r>
      <w:r w:rsidRPr="008E1031">
        <w:rPr>
          <w:rFonts w:ascii="Times New Roman" w:hAnsi="Times New Roman" w:cs="Times New Roman"/>
          <w:sz w:val="24"/>
          <w:szCs w:val="24"/>
        </w:rPr>
        <w:tab/>
        <w:t>Whether there were any findings against the Passenger Rail Agency of South Africa by the Priv</w:t>
      </w:r>
      <w:r w:rsidRPr="00C520F5">
        <w:rPr>
          <w:rFonts w:ascii="Arial" w:hAnsi="Arial" w:cs="Arial"/>
        </w:rPr>
        <w:t>ate Security Industry Regulatory Authority (PSIRA) relating to the security operations of Metrorail in each of the past three financial years; if so, (a) what are the details of the findings, (b) were any fines paid and (c) were any remedial actions taken to resolve any issues pointed out by the PSIRA;</w:t>
      </w:r>
    </w:p>
    <w:p w:rsidR="00F176CD" w:rsidRPr="00C520F5" w:rsidRDefault="00F176CD" w:rsidP="00DC309C">
      <w:pPr>
        <w:spacing w:before="100" w:beforeAutospacing="1" w:after="100" w:afterAutospacing="1" w:line="240" w:lineRule="auto"/>
        <w:ind w:left="1440" w:hanging="720"/>
        <w:jc w:val="both"/>
        <w:rPr>
          <w:rFonts w:ascii="Arial" w:hAnsi="Arial" w:cs="Arial"/>
        </w:rPr>
      </w:pPr>
      <w:r w:rsidRPr="00C520F5">
        <w:rPr>
          <w:rFonts w:ascii="Arial" w:hAnsi="Arial" w:cs="Arial"/>
        </w:rPr>
        <w:t>(2)</w:t>
      </w:r>
      <w:r w:rsidRPr="00C520F5">
        <w:rPr>
          <w:rFonts w:ascii="Arial" w:hAnsi="Arial" w:cs="Arial"/>
        </w:rPr>
        <w:tab/>
        <w:t>what are the details of (a) each security-related contract for Metrorail operations that was (</w:t>
      </w:r>
      <w:proofErr w:type="spellStart"/>
      <w:r w:rsidRPr="00C520F5">
        <w:rPr>
          <w:rFonts w:ascii="Arial" w:hAnsi="Arial" w:cs="Arial"/>
        </w:rPr>
        <w:t>i</w:t>
      </w:r>
      <w:proofErr w:type="spellEnd"/>
      <w:r w:rsidRPr="00C520F5">
        <w:rPr>
          <w:rFonts w:ascii="Arial" w:hAnsi="Arial" w:cs="Arial"/>
        </w:rPr>
        <w:t>) advertised and (ii) awarded (aa) in the past three financial years and (bb) since 1 April 2017, (b) the value, (c) the deliverables, (d) the company it was awarded to and (e) any further information in each case?</w:t>
      </w:r>
      <w:r w:rsidRPr="00C520F5">
        <w:rPr>
          <w:rFonts w:ascii="Arial" w:hAnsi="Arial" w:cs="Arial"/>
        </w:rPr>
        <w:tab/>
        <w:t>NW714E</w:t>
      </w:r>
      <w:bookmarkStart w:id="0" w:name="_GoBack"/>
      <w:bookmarkEnd w:id="0"/>
    </w:p>
    <w:p w:rsidR="0006459B" w:rsidRPr="00C85105" w:rsidRDefault="00C85105" w:rsidP="0035727E">
      <w:pPr>
        <w:spacing w:before="240"/>
        <w:jc w:val="both"/>
        <w:rPr>
          <w:rFonts w:ascii="Arial" w:hAnsi="Arial" w:cs="Arial"/>
          <w:b/>
          <w:lang w:val="en-ZA" w:eastAsia="x-none"/>
        </w:rPr>
      </w:pPr>
      <w:r>
        <w:rPr>
          <w:rFonts w:ascii="Arial" w:hAnsi="Arial" w:cs="Arial"/>
          <w:b/>
          <w:lang w:val="en-ZA" w:eastAsia="x-none"/>
        </w:rPr>
        <w:t>Response</w:t>
      </w:r>
    </w:p>
    <w:p w:rsidR="00C520F5" w:rsidRDefault="00A5325F" w:rsidP="0035727E">
      <w:pPr>
        <w:pStyle w:val="ListParagraph"/>
        <w:numPr>
          <w:ilvl w:val="0"/>
          <w:numId w:val="24"/>
        </w:numPr>
        <w:spacing w:before="240" w:line="240" w:lineRule="auto"/>
        <w:ind w:left="567" w:hanging="567"/>
        <w:jc w:val="both"/>
        <w:rPr>
          <w:rFonts w:ascii="Arial" w:hAnsi="Arial" w:cs="Arial"/>
          <w:lang w:val="en-ZA" w:eastAsia="x-none"/>
        </w:rPr>
      </w:pPr>
      <w:r w:rsidRPr="00C520F5">
        <w:rPr>
          <w:rFonts w:ascii="Arial" w:hAnsi="Arial" w:cs="Arial"/>
          <w:lang w:val="en-ZA" w:eastAsia="x-none"/>
        </w:rPr>
        <w:t>Yes there were two fin</w:t>
      </w:r>
      <w:r w:rsidR="0035727E">
        <w:rPr>
          <w:rFonts w:ascii="Arial" w:hAnsi="Arial" w:cs="Arial"/>
          <w:lang w:val="en-ZA" w:eastAsia="x-none"/>
        </w:rPr>
        <w:t>ding</w:t>
      </w:r>
      <w:r w:rsidRPr="00C520F5">
        <w:rPr>
          <w:rFonts w:ascii="Arial" w:hAnsi="Arial" w:cs="Arial"/>
          <w:lang w:val="en-ZA" w:eastAsia="x-none"/>
        </w:rPr>
        <w:t xml:space="preserve"> against PRASA in the Western Cape</w:t>
      </w:r>
      <w:r w:rsidR="002A468A" w:rsidRPr="00C520F5">
        <w:rPr>
          <w:rFonts w:ascii="Arial" w:hAnsi="Arial" w:cs="Arial"/>
          <w:lang w:val="en-ZA" w:eastAsia="x-none"/>
        </w:rPr>
        <w:t xml:space="preserve"> in 2017/18.</w:t>
      </w:r>
    </w:p>
    <w:p w:rsidR="00C85105" w:rsidRDefault="00C85105" w:rsidP="00C85105">
      <w:pPr>
        <w:pStyle w:val="ListParagraph"/>
        <w:spacing w:before="240" w:line="240" w:lineRule="auto"/>
        <w:ind w:left="567"/>
        <w:jc w:val="both"/>
        <w:rPr>
          <w:rFonts w:ascii="Arial" w:hAnsi="Arial" w:cs="Arial"/>
          <w:lang w:val="en-ZA" w:eastAsia="x-none"/>
        </w:rPr>
      </w:pPr>
    </w:p>
    <w:p w:rsidR="00C520F5" w:rsidRDefault="002A468A" w:rsidP="0035727E">
      <w:pPr>
        <w:pStyle w:val="ListParagraph"/>
        <w:numPr>
          <w:ilvl w:val="0"/>
          <w:numId w:val="32"/>
        </w:numPr>
        <w:spacing w:before="240" w:line="240" w:lineRule="auto"/>
        <w:jc w:val="both"/>
        <w:rPr>
          <w:rFonts w:ascii="Arial" w:hAnsi="Arial" w:cs="Arial"/>
          <w:lang w:val="en-ZA" w:eastAsia="x-none"/>
        </w:rPr>
      </w:pPr>
      <w:r w:rsidRPr="00C520F5">
        <w:rPr>
          <w:rFonts w:ascii="Arial" w:hAnsi="Arial" w:cs="Arial"/>
          <w:lang w:val="en-ZA" w:eastAsia="x-none"/>
        </w:rPr>
        <w:t>T</w:t>
      </w:r>
      <w:r w:rsidR="00A5325F" w:rsidRPr="00C520F5">
        <w:rPr>
          <w:rFonts w:ascii="Arial" w:hAnsi="Arial" w:cs="Arial"/>
          <w:lang w:val="en-ZA" w:eastAsia="x-none"/>
        </w:rPr>
        <w:t xml:space="preserve">he first </w:t>
      </w:r>
      <w:r w:rsidRPr="00C520F5">
        <w:rPr>
          <w:rFonts w:ascii="Arial" w:hAnsi="Arial" w:cs="Arial"/>
          <w:lang w:val="en-ZA" w:eastAsia="x-none"/>
        </w:rPr>
        <w:t xml:space="preserve">finding related to </w:t>
      </w:r>
      <w:r w:rsidR="00A5325F" w:rsidRPr="00C520F5">
        <w:rPr>
          <w:rFonts w:ascii="Arial" w:hAnsi="Arial" w:cs="Arial"/>
          <w:lang w:val="en-ZA" w:eastAsia="x-none"/>
        </w:rPr>
        <w:t>the internal complement</w:t>
      </w:r>
      <w:r w:rsidRPr="00C520F5">
        <w:rPr>
          <w:rFonts w:ascii="Arial" w:hAnsi="Arial" w:cs="Arial"/>
          <w:lang w:val="en-ZA" w:eastAsia="x-none"/>
        </w:rPr>
        <w:t xml:space="preserve"> of staff </w:t>
      </w:r>
      <w:r w:rsidR="00A5325F" w:rsidRPr="00C520F5">
        <w:rPr>
          <w:rFonts w:ascii="Arial" w:hAnsi="Arial" w:cs="Arial"/>
          <w:lang w:val="en-ZA" w:eastAsia="x-none"/>
        </w:rPr>
        <w:t xml:space="preserve">and the second </w:t>
      </w:r>
      <w:r w:rsidRPr="00C520F5">
        <w:rPr>
          <w:rFonts w:ascii="Arial" w:hAnsi="Arial" w:cs="Arial"/>
          <w:lang w:val="en-ZA" w:eastAsia="x-none"/>
        </w:rPr>
        <w:t xml:space="preserve">related to </w:t>
      </w:r>
      <w:r w:rsidR="00A5325F" w:rsidRPr="00C520F5">
        <w:rPr>
          <w:rFonts w:ascii="Arial" w:hAnsi="Arial" w:cs="Arial"/>
          <w:lang w:val="en-ZA" w:eastAsia="x-none"/>
        </w:rPr>
        <w:t xml:space="preserve">the Training Centre. </w:t>
      </w:r>
      <w:r w:rsidR="0006459B" w:rsidRPr="00C520F5">
        <w:rPr>
          <w:rFonts w:ascii="Arial" w:hAnsi="Arial" w:cs="Arial"/>
          <w:lang w:val="en-ZA" w:eastAsia="x-none"/>
        </w:rPr>
        <w:t>PSIRA instituted proceeding</w:t>
      </w:r>
      <w:r w:rsidRPr="00C520F5">
        <w:rPr>
          <w:rFonts w:ascii="Arial" w:hAnsi="Arial" w:cs="Arial"/>
          <w:lang w:val="en-ZA" w:eastAsia="x-none"/>
        </w:rPr>
        <w:t>s</w:t>
      </w:r>
      <w:r w:rsidR="0006459B" w:rsidRPr="00C520F5">
        <w:rPr>
          <w:rFonts w:ascii="Arial" w:hAnsi="Arial" w:cs="Arial"/>
          <w:lang w:val="en-ZA" w:eastAsia="x-none"/>
        </w:rPr>
        <w:t xml:space="preserve"> </w:t>
      </w:r>
      <w:r w:rsidR="00614494" w:rsidRPr="00C520F5">
        <w:rPr>
          <w:rFonts w:ascii="Arial" w:hAnsi="Arial" w:cs="Arial"/>
          <w:lang w:val="en-ZA" w:eastAsia="x-none"/>
        </w:rPr>
        <w:t xml:space="preserve">in the Western Cape </w:t>
      </w:r>
      <w:r w:rsidR="0006459B" w:rsidRPr="00C520F5">
        <w:rPr>
          <w:rFonts w:ascii="Arial" w:hAnsi="Arial" w:cs="Arial"/>
          <w:lang w:val="en-ZA" w:eastAsia="x-none"/>
        </w:rPr>
        <w:t>by ways of a summons in terms of the Private Security Regulations Act, No 56 of 20</w:t>
      </w:r>
      <w:r w:rsidR="003055DD" w:rsidRPr="00C520F5">
        <w:rPr>
          <w:rFonts w:ascii="Arial" w:hAnsi="Arial" w:cs="Arial"/>
          <w:lang w:val="en-ZA" w:eastAsia="x-none"/>
        </w:rPr>
        <w:t>01 against PRASA for alleged im</w:t>
      </w:r>
      <w:r w:rsidR="0006459B" w:rsidRPr="00C520F5">
        <w:rPr>
          <w:rFonts w:ascii="Arial" w:hAnsi="Arial" w:cs="Arial"/>
          <w:lang w:val="en-ZA" w:eastAsia="x-none"/>
        </w:rPr>
        <w:t xml:space="preserve">proper conduct </w:t>
      </w:r>
      <w:r w:rsidR="00A5325F" w:rsidRPr="00C520F5">
        <w:rPr>
          <w:rFonts w:ascii="Arial" w:hAnsi="Arial" w:cs="Arial"/>
          <w:lang w:val="en-ZA" w:eastAsia="x-none"/>
        </w:rPr>
        <w:t>with</w:t>
      </w:r>
      <w:r w:rsidR="00AB4E33" w:rsidRPr="00C520F5">
        <w:rPr>
          <w:rFonts w:ascii="Arial" w:hAnsi="Arial" w:cs="Arial"/>
          <w:lang w:val="en-ZA" w:eastAsia="x-none"/>
        </w:rPr>
        <w:t xml:space="preserve"> 855 counts.  </w:t>
      </w:r>
      <w:r w:rsidRPr="00C520F5">
        <w:rPr>
          <w:rFonts w:ascii="Arial" w:hAnsi="Arial" w:cs="Arial"/>
          <w:lang w:val="en-ZA" w:eastAsia="x-none"/>
        </w:rPr>
        <w:t>The charges are related to outstanding SASETA Certificates required for PSIRA Registrations, non-compliance to requirements for uniforms, criminal records and administrative requirements for the training centre. It must be noted that members recruited from the SANDF are trained professionals but many had not yet been registered through the process of recognition for prior learning</w:t>
      </w:r>
      <w:r w:rsidR="00C520F5">
        <w:rPr>
          <w:rFonts w:ascii="Arial" w:hAnsi="Arial" w:cs="Arial"/>
          <w:lang w:val="en-ZA" w:eastAsia="x-none"/>
        </w:rPr>
        <w:t xml:space="preserve">; </w:t>
      </w:r>
    </w:p>
    <w:p w:rsidR="00C520F5" w:rsidRDefault="00C520F5" w:rsidP="0035727E">
      <w:pPr>
        <w:pStyle w:val="ListParagraph"/>
        <w:spacing w:before="240" w:line="240" w:lineRule="auto"/>
        <w:ind w:left="927"/>
        <w:jc w:val="both"/>
        <w:rPr>
          <w:rFonts w:ascii="Arial" w:hAnsi="Arial" w:cs="Arial"/>
          <w:lang w:val="en-ZA" w:eastAsia="x-none"/>
        </w:rPr>
      </w:pPr>
    </w:p>
    <w:p w:rsidR="00C520F5" w:rsidRDefault="003055DD" w:rsidP="0035727E">
      <w:pPr>
        <w:pStyle w:val="ListParagraph"/>
        <w:numPr>
          <w:ilvl w:val="0"/>
          <w:numId w:val="32"/>
        </w:numPr>
        <w:spacing w:before="240" w:line="240" w:lineRule="auto"/>
        <w:jc w:val="both"/>
        <w:rPr>
          <w:rFonts w:ascii="Arial" w:hAnsi="Arial" w:cs="Arial"/>
          <w:lang w:val="en-ZA" w:eastAsia="x-none"/>
        </w:rPr>
      </w:pPr>
      <w:r w:rsidRPr="00C520F5">
        <w:rPr>
          <w:rFonts w:ascii="Arial" w:hAnsi="Arial" w:cs="Arial"/>
          <w:lang w:val="en-ZA" w:eastAsia="x-none"/>
        </w:rPr>
        <w:t xml:space="preserve">PRASA </w:t>
      </w:r>
      <w:r w:rsidR="0006459B" w:rsidRPr="00C520F5">
        <w:rPr>
          <w:rFonts w:ascii="Arial" w:hAnsi="Arial" w:cs="Arial"/>
          <w:lang w:val="en-ZA" w:eastAsia="x-none"/>
        </w:rPr>
        <w:t>was fined the amount of R3</w:t>
      </w:r>
      <w:proofErr w:type="gramStart"/>
      <w:r w:rsidR="0006459B" w:rsidRPr="00C520F5">
        <w:rPr>
          <w:rFonts w:ascii="Arial" w:hAnsi="Arial" w:cs="Arial"/>
          <w:lang w:val="en-ZA" w:eastAsia="x-none"/>
        </w:rPr>
        <w:t>,000,000</w:t>
      </w:r>
      <w:proofErr w:type="gramEnd"/>
      <w:r w:rsidR="00AB4E33" w:rsidRPr="00C520F5">
        <w:rPr>
          <w:rFonts w:ascii="Arial" w:hAnsi="Arial" w:cs="Arial"/>
          <w:lang w:val="en-ZA" w:eastAsia="x-none"/>
        </w:rPr>
        <w:t>-</w:t>
      </w:r>
      <w:r w:rsidR="0006459B" w:rsidRPr="00C520F5">
        <w:rPr>
          <w:rFonts w:ascii="Arial" w:hAnsi="Arial" w:cs="Arial"/>
          <w:lang w:val="en-ZA" w:eastAsia="x-none"/>
        </w:rPr>
        <w:t>00 in respect of</w:t>
      </w:r>
      <w:r w:rsidR="00A5325F" w:rsidRPr="00C520F5">
        <w:rPr>
          <w:rFonts w:ascii="Arial" w:hAnsi="Arial" w:cs="Arial"/>
          <w:lang w:val="en-ZA" w:eastAsia="x-none"/>
        </w:rPr>
        <w:t xml:space="preserve"> the charges related to the 855 counts for non-compliance of the complement and R8</w:t>
      </w:r>
      <w:r w:rsidR="00AB4E33" w:rsidRPr="00C520F5">
        <w:rPr>
          <w:rFonts w:ascii="Arial" w:hAnsi="Arial" w:cs="Arial"/>
          <w:lang w:val="en-ZA" w:eastAsia="x-none"/>
        </w:rPr>
        <w:t>,</w:t>
      </w:r>
      <w:r w:rsidR="00A5325F" w:rsidRPr="00C520F5">
        <w:rPr>
          <w:rFonts w:ascii="Arial" w:hAnsi="Arial" w:cs="Arial"/>
          <w:lang w:val="en-ZA" w:eastAsia="x-none"/>
        </w:rPr>
        <w:t>000</w:t>
      </w:r>
      <w:r w:rsidR="00AB4E33" w:rsidRPr="00C520F5">
        <w:rPr>
          <w:rFonts w:ascii="Arial" w:hAnsi="Arial" w:cs="Arial"/>
          <w:lang w:val="en-ZA" w:eastAsia="x-none"/>
        </w:rPr>
        <w:t>-</w:t>
      </w:r>
      <w:r w:rsidR="00A5325F" w:rsidRPr="00C520F5">
        <w:rPr>
          <w:rFonts w:ascii="Arial" w:hAnsi="Arial" w:cs="Arial"/>
          <w:lang w:val="en-ZA" w:eastAsia="x-none"/>
        </w:rPr>
        <w:t>00 for the Training Centre. All fines</w:t>
      </w:r>
      <w:r w:rsidR="0006459B" w:rsidRPr="00C520F5">
        <w:rPr>
          <w:rFonts w:ascii="Arial" w:hAnsi="Arial" w:cs="Arial"/>
          <w:lang w:val="en-ZA" w:eastAsia="x-none"/>
        </w:rPr>
        <w:t xml:space="preserve"> w</w:t>
      </w:r>
      <w:r w:rsidR="002A468A" w:rsidRPr="00C520F5">
        <w:rPr>
          <w:rFonts w:ascii="Arial" w:hAnsi="Arial" w:cs="Arial"/>
          <w:lang w:val="en-ZA" w:eastAsia="x-none"/>
        </w:rPr>
        <w:t>ere</w:t>
      </w:r>
      <w:r w:rsidR="0006459B" w:rsidRPr="00C520F5">
        <w:rPr>
          <w:rFonts w:ascii="Arial" w:hAnsi="Arial" w:cs="Arial"/>
          <w:lang w:val="en-ZA" w:eastAsia="x-none"/>
        </w:rPr>
        <w:t xml:space="preserve"> paid on 31 January 2018</w:t>
      </w:r>
      <w:r w:rsidR="00C520F5">
        <w:rPr>
          <w:rFonts w:ascii="Arial" w:hAnsi="Arial" w:cs="Arial"/>
          <w:lang w:val="en-ZA" w:eastAsia="x-none"/>
        </w:rPr>
        <w:t>; and</w:t>
      </w:r>
    </w:p>
    <w:p w:rsidR="00C520F5" w:rsidRPr="00C520F5" w:rsidRDefault="00C520F5" w:rsidP="0035727E">
      <w:pPr>
        <w:pStyle w:val="ListParagraph"/>
        <w:spacing w:before="240"/>
        <w:rPr>
          <w:rFonts w:ascii="Arial" w:hAnsi="Arial" w:cs="Arial"/>
          <w:lang w:val="en-ZA" w:eastAsia="x-none"/>
        </w:rPr>
      </w:pPr>
    </w:p>
    <w:p w:rsidR="003055DD" w:rsidRPr="00C520F5" w:rsidRDefault="003055DD" w:rsidP="0035727E">
      <w:pPr>
        <w:pStyle w:val="ListParagraph"/>
        <w:numPr>
          <w:ilvl w:val="0"/>
          <w:numId w:val="32"/>
        </w:numPr>
        <w:spacing w:before="240" w:line="240" w:lineRule="auto"/>
        <w:jc w:val="both"/>
        <w:rPr>
          <w:rFonts w:ascii="Arial" w:hAnsi="Arial" w:cs="Arial"/>
          <w:lang w:val="en-ZA" w:eastAsia="x-none"/>
        </w:rPr>
      </w:pPr>
      <w:r w:rsidRPr="00C520F5">
        <w:rPr>
          <w:rFonts w:ascii="Arial" w:hAnsi="Arial" w:cs="Arial"/>
          <w:lang w:val="en-ZA" w:eastAsia="x-none"/>
        </w:rPr>
        <w:t>The remedial actions are ongoing and include the following:</w:t>
      </w:r>
    </w:p>
    <w:p w:rsidR="003055DD" w:rsidRPr="00C520F5" w:rsidRDefault="003055DD"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Sourcing the funding to replace uniform</w:t>
      </w:r>
      <w:r w:rsidR="00442E1C" w:rsidRPr="00C520F5">
        <w:rPr>
          <w:rFonts w:ascii="Arial" w:hAnsi="Arial" w:cs="Arial"/>
          <w:lang w:val="en-ZA" w:eastAsia="x-none"/>
        </w:rPr>
        <w:t xml:space="preserve"> and equipment</w:t>
      </w:r>
      <w:r w:rsidRPr="00C520F5">
        <w:rPr>
          <w:rFonts w:ascii="Arial" w:hAnsi="Arial" w:cs="Arial"/>
          <w:lang w:val="en-ZA" w:eastAsia="x-none"/>
        </w:rPr>
        <w:t>.</w:t>
      </w:r>
    </w:p>
    <w:p w:rsidR="0006459B" w:rsidRPr="00C520F5" w:rsidRDefault="003055DD"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 xml:space="preserve"> </w:t>
      </w:r>
      <w:r w:rsidR="00614494" w:rsidRPr="00C520F5">
        <w:rPr>
          <w:rFonts w:ascii="Arial" w:hAnsi="Arial" w:cs="Arial"/>
          <w:lang w:val="en-ZA" w:eastAsia="x-none"/>
        </w:rPr>
        <w:t xml:space="preserve">96 </w:t>
      </w:r>
      <w:r w:rsidRPr="00C520F5">
        <w:rPr>
          <w:rFonts w:ascii="Arial" w:hAnsi="Arial" w:cs="Arial"/>
          <w:lang w:val="en-ZA" w:eastAsia="x-none"/>
        </w:rPr>
        <w:t xml:space="preserve">members with criminal records </w:t>
      </w:r>
      <w:r w:rsidR="00442E1C" w:rsidRPr="00C520F5">
        <w:rPr>
          <w:rFonts w:ascii="Arial" w:hAnsi="Arial" w:cs="Arial"/>
          <w:lang w:val="en-ZA" w:eastAsia="x-none"/>
        </w:rPr>
        <w:t xml:space="preserve">have </w:t>
      </w:r>
      <w:r w:rsidRPr="00C520F5">
        <w:rPr>
          <w:rFonts w:ascii="Arial" w:hAnsi="Arial" w:cs="Arial"/>
          <w:lang w:val="en-ZA" w:eastAsia="x-none"/>
        </w:rPr>
        <w:t>in the interim</w:t>
      </w:r>
      <w:r w:rsidR="00442E1C" w:rsidRPr="00C520F5">
        <w:rPr>
          <w:rFonts w:ascii="Arial" w:hAnsi="Arial" w:cs="Arial"/>
          <w:lang w:val="en-ZA" w:eastAsia="x-none"/>
        </w:rPr>
        <w:t xml:space="preserve"> been</w:t>
      </w:r>
      <w:r w:rsidR="00614494" w:rsidRPr="00C520F5">
        <w:rPr>
          <w:rFonts w:ascii="Arial" w:hAnsi="Arial" w:cs="Arial"/>
          <w:lang w:val="en-ZA" w:eastAsia="x-none"/>
        </w:rPr>
        <w:t xml:space="preserve"> placed with c</w:t>
      </w:r>
      <w:r w:rsidR="002A468A" w:rsidRPr="00C520F5">
        <w:rPr>
          <w:rFonts w:ascii="Arial" w:hAnsi="Arial" w:cs="Arial"/>
          <w:lang w:val="en-ZA" w:eastAsia="x-none"/>
        </w:rPr>
        <w:t>ustome</w:t>
      </w:r>
      <w:r w:rsidR="00614494" w:rsidRPr="00C520F5">
        <w:rPr>
          <w:rFonts w:ascii="Arial" w:hAnsi="Arial" w:cs="Arial"/>
          <w:lang w:val="en-ZA" w:eastAsia="x-none"/>
        </w:rPr>
        <w:t>r services</w:t>
      </w:r>
      <w:r w:rsidR="00442E1C" w:rsidRPr="00C520F5">
        <w:rPr>
          <w:rFonts w:ascii="Arial" w:hAnsi="Arial" w:cs="Arial"/>
          <w:lang w:val="en-ZA" w:eastAsia="x-none"/>
        </w:rPr>
        <w:t xml:space="preserve"> pending further investigation and record clearance</w:t>
      </w:r>
      <w:r w:rsidRPr="00C520F5">
        <w:rPr>
          <w:rFonts w:ascii="Arial" w:hAnsi="Arial" w:cs="Arial"/>
          <w:lang w:val="en-ZA" w:eastAsia="x-none"/>
        </w:rPr>
        <w:t>.</w:t>
      </w:r>
      <w:r w:rsidR="00614494" w:rsidRPr="00C520F5">
        <w:rPr>
          <w:rFonts w:ascii="Arial" w:hAnsi="Arial" w:cs="Arial"/>
          <w:lang w:val="en-ZA" w:eastAsia="x-none"/>
        </w:rPr>
        <w:t xml:space="preserve"> The criminal records of five members have been cleared in the meantime. </w:t>
      </w:r>
    </w:p>
    <w:p w:rsidR="000C5A6F" w:rsidRPr="00C520F5" w:rsidRDefault="000C5A6F"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 xml:space="preserve">Members unsuccessful with their application will be dealt with through the relevant legislation. </w:t>
      </w:r>
    </w:p>
    <w:p w:rsidR="000C5A6F" w:rsidRPr="00C520F5" w:rsidRDefault="003055DD"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 xml:space="preserve">There are pending applications for </w:t>
      </w:r>
      <w:proofErr w:type="spellStart"/>
      <w:r w:rsidRPr="00C520F5">
        <w:rPr>
          <w:rFonts w:ascii="Arial" w:hAnsi="Arial" w:cs="Arial"/>
          <w:lang w:val="en-ZA" w:eastAsia="x-none"/>
        </w:rPr>
        <w:t>expungement</w:t>
      </w:r>
      <w:proofErr w:type="spellEnd"/>
      <w:r w:rsidRPr="00C520F5">
        <w:rPr>
          <w:rFonts w:ascii="Arial" w:hAnsi="Arial" w:cs="Arial"/>
          <w:lang w:val="en-ZA" w:eastAsia="x-none"/>
        </w:rPr>
        <w:t xml:space="preserve"> </w:t>
      </w:r>
      <w:r w:rsidR="000C5A6F" w:rsidRPr="00C520F5">
        <w:rPr>
          <w:rFonts w:ascii="Arial" w:hAnsi="Arial" w:cs="Arial"/>
          <w:lang w:val="en-ZA" w:eastAsia="x-none"/>
        </w:rPr>
        <w:t xml:space="preserve">of criminal records as allowed for by PSIRA regulations. </w:t>
      </w:r>
    </w:p>
    <w:p w:rsidR="003055DD" w:rsidRPr="00C520F5" w:rsidRDefault="000C5A6F"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PRASA Security intensified the vetting screening of security staff. The process will be completed by 30 April 2018.</w:t>
      </w:r>
      <w:r w:rsidR="003055DD" w:rsidRPr="00C520F5">
        <w:rPr>
          <w:rFonts w:ascii="Arial" w:hAnsi="Arial" w:cs="Arial"/>
          <w:lang w:val="en-ZA" w:eastAsia="x-none"/>
        </w:rPr>
        <w:t xml:space="preserve"> </w:t>
      </w:r>
    </w:p>
    <w:p w:rsidR="000C5A6F" w:rsidRPr="00C520F5" w:rsidRDefault="000C5A6F"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 xml:space="preserve">A </w:t>
      </w:r>
      <w:r w:rsidR="00614494" w:rsidRPr="00C520F5">
        <w:rPr>
          <w:rFonts w:ascii="Arial" w:hAnsi="Arial" w:cs="Arial"/>
          <w:lang w:val="en-ZA" w:eastAsia="x-none"/>
        </w:rPr>
        <w:t xml:space="preserve">total of 229 </w:t>
      </w:r>
      <w:r w:rsidRPr="00C520F5">
        <w:rPr>
          <w:rFonts w:ascii="Arial" w:hAnsi="Arial" w:cs="Arial"/>
          <w:lang w:val="en-ZA" w:eastAsia="x-none"/>
        </w:rPr>
        <w:t xml:space="preserve">members </w:t>
      </w:r>
      <w:r w:rsidR="00C31552" w:rsidRPr="00C520F5">
        <w:rPr>
          <w:rFonts w:ascii="Arial" w:hAnsi="Arial" w:cs="Arial"/>
          <w:lang w:val="en-ZA" w:eastAsia="x-none"/>
        </w:rPr>
        <w:t>have been retrained and are awaiting their SASETA certificates for registration with PSIRA.</w:t>
      </w:r>
      <w:r w:rsidR="00614494" w:rsidRPr="00C520F5">
        <w:rPr>
          <w:rFonts w:ascii="Arial" w:hAnsi="Arial" w:cs="Arial"/>
          <w:lang w:val="en-ZA" w:eastAsia="x-none"/>
        </w:rPr>
        <w:t xml:space="preserve"> </w:t>
      </w:r>
    </w:p>
    <w:p w:rsidR="00C31552" w:rsidRPr="00C520F5" w:rsidRDefault="00C31552"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t>The training centre deficiency ha</w:t>
      </w:r>
      <w:r w:rsidR="002A468A" w:rsidRPr="00C520F5">
        <w:rPr>
          <w:rFonts w:ascii="Arial" w:hAnsi="Arial" w:cs="Arial"/>
          <w:lang w:val="en-ZA" w:eastAsia="x-none"/>
        </w:rPr>
        <w:t>s</w:t>
      </w:r>
      <w:r w:rsidRPr="00C520F5">
        <w:rPr>
          <w:rFonts w:ascii="Arial" w:hAnsi="Arial" w:cs="Arial"/>
          <w:lang w:val="en-ZA" w:eastAsia="x-none"/>
        </w:rPr>
        <w:t xml:space="preserve"> been corrected. </w:t>
      </w:r>
    </w:p>
    <w:p w:rsidR="00F90DE7" w:rsidRPr="00C520F5" w:rsidRDefault="00F90DE7" w:rsidP="0035727E">
      <w:pPr>
        <w:pStyle w:val="ListParagraph"/>
        <w:numPr>
          <w:ilvl w:val="1"/>
          <w:numId w:val="30"/>
        </w:numPr>
        <w:spacing w:before="240"/>
        <w:jc w:val="both"/>
        <w:rPr>
          <w:rFonts w:ascii="Arial" w:hAnsi="Arial" w:cs="Arial"/>
          <w:lang w:val="en-ZA" w:eastAsia="x-none"/>
        </w:rPr>
      </w:pPr>
      <w:r w:rsidRPr="00C520F5">
        <w:rPr>
          <w:rFonts w:ascii="Arial" w:hAnsi="Arial" w:cs="Arial"/>
          <w:lang w:val="en-ZA" w:eastAsia="x-none"/>
        </w:rPr>
        <w:lastRenderedPageBreak/>
        <w:t>PRASA is engaging PSIRA to update our records and to deal with the administrative backlog.</w:t>
      </w:r>
    </w:p>
    <w:p w:rsidR="00031EF5" w:rsidRPr="00C520F5" w:rsidRDefault="00031EF5" w:rsidP="0035727E">
      <w:pPr>
        <w:pStyle w:val="ListParagraph"/>
        <w:spacing w:before="240"/>
        <w:ind w:left="1440"/>
        <w:jc w:val="both"/>
        <w:rPr>
          <w:rFonts w:ascii="Arial" w:hAnsi="Arial" w:cs="Arial"/>
          <w:lang w:val="en-ZA" w:eastAsia="x-none"/>
        </w:rPr>
      </w:pPr>
    </w:p>
    <w:p w:rsidR="00C520F5" w:rsidRDefault="00031EF5" w:rsidP="0035727E">
      <w:pPr>
        <w:pStyle w:val="ListParagraph"/>
        <w:numPr>
          <w:ilvl w:val="0"/>
          <w:numId w:val="30"/>
        </w:numPr>
        <w:spacing w:before="240"/>
        <w:ind w:left="709"/>
        <w:jc w:val="both"/>
        <w:rPr>
          <w:rFonts w:ascii="Arial" w:hAnsi="Arial" w:cs="Arial"/>
          <w:lang w:val="en-ZA" w:eastAsia="x-none"/>
        </w:rPr>
      </w:pPr>
      <w:r w:rsidRPr="00C520F5">
        <w:rPr>
          <w:rFonts w:ascii="Arial" w:hAnsi="Arial" w:cs="Arial"/>
          <w:lang w:val="en-ZA" w:eastAsia="x-none"/>
        </w:rPr>
        <w:t>(a)</w:t>
      </w:r>
      <w:r w:rsidR="00C520F5">
        <w:rPr>
          <w:rFonts w:ascii="Arial" w:hAnsi="Arial" w:cs="Arial"/>
          <w:lang w:val="en-ZA" w:eastAsia="x-none"/>
        </w:rPr>
        <w:tab/>
      </w:r>
      <w:r w:rsidRPr="00C520F5">
        <w:rPr>
          <w:rFonts w:ascii="Arial" w:hAnsi="Arial" w:cs="Arial"/>
          <w:lang w:val="en-ZA" w:eastAsia="x-none"/>
        </w:rPr>
        <w:t>(</w:t>
      </w:r>
      <w:proofErr w:type="spellStart"/>
      <w:r w:rsidRPr="00C520F5">
        <w:rPr>
          <w:rFonts w:ascii="Arial" w:hAnsi="Arial" w:cs="Arial"/>
          <w:lang w:val="en-ZA" w:eastAsia="x-none"/>
        </w:rPr>
        <w:t>i</w:t>
      </w:r>
      <w:proofErr w:type="spellEnd"/>
      <w:r w:rsidRPr="00C520F5">
        <w:rPr>
          <w:rFonts w:ascii="Arial" w:hAnsi="Arial" w:cs="Arial"/>
          <w:lang w:val="en-ZA" w:eastAsia="x-none"/>
        </w:rPr>
        <w:t xml:space="preserve">) A national tender was advertised in 2016 on the National Treasury CSD </w:t>
      </w:r>
      <w:r w:rsidR="00442E1C" w:rsidRPr="00C520F5">
        <w:rPr>
          <w:rFonts w:ascii="Arial" w:hAnsi="Arial" w:cs="Arial"/>
          <w:lang w:val="en-ZA" w:eastAsia="x-none"/>
        </w:rPr>
        <w:t xml:space="preserve">portal, </w:t>
      </w:r>
      <w:r w:rsidR="002A468A" w:rsidRPr="00C520F5">
        <w:rPr>
          <w:rFonts w:ascii="Arial" w:hAnsi="Arial" w:cs="Arial"/>
          <w:lang w:val="en-ZA" w:eastAsia="x-none"/>
        </w:rPr>
        <w:t xml:space="preserve">however </w:t>
      </w:r>
      <w:r w:rsidR="00442E1C" w:rsidRPr="00C520F5">
        <w:rPr>
          <w:rFonts w:ascii="Arial" w:hAnsi="Arial" w:cs="Arial"/>
          <w:lang w:val="en-ZA" w:eastAsia="x-none"/>
        </w:rPr>
        <w:t>the tender</w:t>
      </w:r>
      <w:r w:rsidRPr="00C520F5">
        <w:rPr>
          <w:rFonts w:ascii="Arial" w:hAnsi="Arial" w:cs="Arial"/>
          <w:lang w:val="en-ZA" w:eastAsia="x-none"/>
        </w:rPr>
        <w:t xml:space="preserve"> was cancelled owing to restructuring and the start of a turnaround process; </w:t>
      </w:r>
    </w:p>
    <w:p w:rsidR="00C520F5" w:rsidRDefault="00C520F5" w:rsidP="0035727E">
      <w:pPr>
        <w:pStyle w:val="ListParagraph"/>
        <w:spacing w:before="240"/>
        <w:ind w:left="709"/>
        <w:jc w:val="both"/>
        <w:rPr>
          <w:rFonts w:ascii="Arial" w:hAnsi="Arial" w:cs="Arial"/>
          <w:lang w:val="en-ZA" w:eastAsia="x-none"/>
        </w:rPr>
      </w:pPr>
    </w:p>
    <w:p w:rsidR="00C729C9" w:rsidRDefault="00031EF5" w:rsidP="0035727E">
      <w:pPr>
        <w:pStyle w:val="ListParagraph"/>
        <w:spacing w:before="240"/>
        <w:ind w:firstLine="720"/>
        <w:jc w:val="both"/>
        <w:rPr>
          <w:rFonts w:ascii="Arial" w:hAnsi="Arial" w:cs="Arial"/>
          <w:lang w:val="en-ZA" w:eastAsia="x-none"/>
        </w:rPr>
      </w:pPr>
      <w:r w:rsidRPr="00C520F5">
        <w:rPr>
          <w:rFonts w:ascii="Arial" w:hAnsi="Arial" w:cs="Arial"/>
          <w:lang w:val="en-ZA" w:eastAsia="x-none"/>
        </w:rPr>
        <w:t xml:space="preserve">(ii) </w:t>
      </w:r>
      <w:proofErr w:type="gramStart"/>
      <w:r w:rsidRPr="00C520F5">
        <w:rPr>
          <w:rFonts w:ascii="Arial" w:hAnsi="Arial" w:cs="Arial"/>
          <w:lang w:val="en-ZA" w:eastAsia="x-none"/>
        </w:rPr>
        <w:t>no</w:t>
      </w:r>
      <w:proofErr w:type="gramEnd"/>
      <w:r w:rsidRPr="00C520F5">
        <w:rPr>
          <w:rFonts w:ascii="Arial" w:hAnsi="Arial" w:cs="Arial"/>
          <w:lang w:val="en-ZA" w:eastAsia="x-none"/>
        </w:rPr>
        <w:t xml:space="preserve"> contracts was awarded</w:t>
      </w:r>
      <w:r w:rsidR="00C67D3F" w:rsidRPr="00C520F5">
        <w:rPr>
          <w:rFonts w:ascii="Arial" w:hAnsi="Arial" w:cs="Arial"/>
          <w:lang w:val="en-ZA" w:eastAsia="x-none"/>
        </w:rPr>
        <w:t xml:space="preserve"> </w:t>
      </w:r>
    </w:p>
    <w:p w:rsidR="00C729C9" w:rsidRPr="00C520F5" w:rsidRDefault="00C520F5" w:rsidP="0035727E">
      <w:pPr>
        <w:spacing w:before="240"/>
        <w:ind w:left="720"/>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aa</w:t>
      </w:r>
      <w:proofErr w:type="gramEnd"/>
      <w:r>
        <w:rPr>
          <w:rFonts w:ascii="Arial" w:hAnsi="Arial" w:cs="Arial"/>
          <w:lang w:val="en-ZA" w:eastAsia="x-none"/>
        </w:rPr>
        <w:t xml:space="preserve">) &amp; </w:t>
      </w:r>
      <w:r w:rsidR="00C67D3F" w:rsidRPr="00C520F5">
        <w:rPr>
          <w:rFonts w:ascii="Arial" w:hAnsi="Arial" w:cs="Arial"/>
          <w:lang w:val="en-ZA" w:eastAsia="x-none"/>
        </w:rPr>
        <w:t xml:space="preserve">(bb) </w:t>
      </w:r>
      <w:proofErr w:type="gramStart"/>
      <w:r w:rsidR="00C729C9" w:rsidRPr="00C520F5">
        <w:rPr>
          <w:rFonts w:ascii="Arial" w:hAnsi="Arial" w:cs="Arial"/>
          <w:lang w:val="en-ZA" w:eastAsia="x-none"/>
        </w:rPr>
        <w:t>An</w:t>
      </w:r>
      <w:proofErr w:type="gramEnd"/>
      <w:r w:rsidR="00C729C9" w:rsidRPr="00C520F5">
        <w:rPr>
          <w:rFonts w:ascii="Arial" w:hAnsi="Arial" w:cs="Arial"/>
          <w:lang w:val="en-ZA" w:eastAsia="x-none"/>
        </w:rPr>
        <w:t xml:space="preserve"> emergency procurement process was followed following severe damage to the infrastructure and the killing of a security guard</w:t>
      </w:r>
      <w:r w:rsidR="002A468A" w:rsidRPr="00C520F5">
        <w:rPr>
          <w:rFonts w:ascii="Arial" w:hAnsi="Arial" w:cs="Arial"/>
          <w:lang w:val="en-ZA" w:eastAsia="x-none"/>
        </w:rPr>
        <w:t xml:space="preserve"> in 2017. </w:t>
      </w:r>
    </w:p>
    <w:p w:rsidR="00C729C9" w:rsidRPr="00C520F5" w:rsidRDefault="00C729C9" w:rsidP="0035727E">
      <w:pPr>
        <w:pStyle w:val="ListParagraph"/>
        <w:spacing w:before="240"/>
        <w:jc w:val="both"/>
        <w:rPr>
          <w:rFonts w:ascii="Arial" w:hAnsi="Arial" w:cs="Arial"/>
          <w:lang w:val="en-ZA" w:eastAsia="x-none"/>
        </w:rPr>
      </w:pPr>
      <w:r w:rsidRPr="00C520F5">
        <w:rPr>
          <w:rFonts w:ascii="Arial" w:hAnsi="Arial" w:cs="Arial"/>
          <w:lang w:val="en-ZA" w:eastAsia="x-none"/>
        </w:rPr>
        <w:t xml:space="preserve">(b) Tabulated below are the values for </w:t>
      </w:r>
      <w:r w:rsidR="002A468A" w:rsidRPr="00C520F5">
        <w:rPr>
          <w:rFonts w:ascii="Arial" w:hAnsi="Arial" w:cs="Arial"/>
          <w:lang w:val="en-ZA" w:eastAsia="x-none"/>
        </w:rPr>
        <w:t xml:space="preserve">contracts awarded since 1 April 2017. </w:t>
      </w:r>
    </w:p>
    <w:tbl>
      <w:tblPr>
        <w:tblW w:w="9606" w:type="dxa"/>
        <w:tblCellMar>
          <w:left w:w="0" w:type="dxa"/>
          <w:right w:w="0" w:type="dxa"/>
        </w:tblCellMar>
        <w:tblLook w:val="04A0" w:firstRow="1" w:lastRow="0" w:firstColumn="1" w:lastColumn="0" w:noHBand="0" w:noVBand="1"/>
      </w:tblPr>
      <w:tblGrid>
        <w:gridCol w:w="2518"/>
        <w:gridCol w:w="4253"/>
        <w:gridCol w:w="2835"/>
      </w:tblGrid>
      <w:tr w:rsidR="008C3E41" w:rsidRPr="00C520F5" w:rsidTr="00F32CC4">
        <w:trPr>
          <w:trHeight w:val="620"/>
        </w:trPr>
        <w:tc>
          <w:tcPr>
            <w:tcW w:w="2518" w:type="dxa"/>
            <w:tcBorders>
              <w:top w:val="double" w:sz="6" w:space="0" w:color="auto"/>
              <w:left w:val="double" w:sz="6" w:space="0" w:color="auto"/>
              <w:bottom w:val="double" w:sz="6" w:space="0" w:color="auto"/>
              <w:right w:val="nil"/>
            </w:tcBorders>
            <w:shd w:val="clear" w:color="auto" w:fill="F2F2F2"/>
            <w:tcMar>
              <w:top w:w="0" w:type="dxa"/>
              <w:left w:w="108" w:type="dxa"/>
              <w:bottom w:w="0" w:type="dxa"/>
              <w:right w:w="108" w:type="dxa"/>
            </w:tcMar>
            <w:hideMark/>
          </w:tcPr>
          <w:p w:rsidR="008C3E41" w:rsidRPr="00C520F5" w:rsidRDefault="008C3E41" w:rsidP="0035727E">
            <w:pPr>
              <w:spacing w:before="240"/>
              <w:rPr>
                <w:rFonts w:ascii="Arial" w:eastAsiaTheme="minorHAnsi" w:hAnsi="Arial" w:cs="Arial"/>
                <w:b/>
                <w:bCs/>
                <w:color w:val="000000"/>
              </w:rPr>
            </w:pPr>
            <w:r w:rsidRPr="00C520F5">
              <w:rPr>
                <w:rFonts w:ascii="Arial" w:hAnsi="Arial" w:cs="Arial"/>
                <w:b/>
                <w:bCs/>
                <w:color w:val="000000"/>
              </w:rPr>
              <w:t>Company</w:t>
            </w:r>
          </w:p>
        </w:tc>
        <w:tc>
          <w:tcPr>
            <w:tcW w:w="4253" w:type="dxa"/>
            <w:tcBorders>
              <w:top w:val="double" w:sz="6" w:space="0" w:color="auto"/>
              <w:left w:val="double" w:sz="6" w:space="0" w:color="auto"/>
              <w:bottom w:val="double" w:sz="6" w:space="0" w:color="auto"/>
              <w:right w:val="double" w:sz="6" w:space="0" w:color="auto"/>
            </w:tcBorders>
            <w:shd w:val="clear" w:color="auto" w:fill="F2F2F2"/>
            <w:tcMar>
              <w:top w:w="0" w:type="dxa"/>
              <w:left w:w="108" w:type="dxa"/>
              <w:bottom w:w="0" w:type="dxa"/>
              <w:right w:w="108" w:type="dxa"/>
            </w:tcMar>
            <w:hideMark/>
          </w:tcPr>
          <w:p w:rsidR="008C3E41" w:rsidRPr="00C520F5" w:rsidRDefault="008C3E41" w:rsidP="0035727E">
            <w:pPr>
              <w:spacing w:before="240"/>
              <w:rPr>
                <w:rFonts w:ascii="Arial" w:eastAsiaTheme="minorHAnsi" w:hAnsi="Arial" w:cs="Arial"/>
                <w:b/>
                <w:bCs/>
                <w:color w:val="000000"/>
              </w:rPr>
            </w:pPr>
            <w:r w:rsidRPr="00C520F5">
              <w:rPr>
                <w:rFonts w:ascii="Arial" w:hAnsi="Arial" w:cs="Arial"/>
                <w:b/>
                <w:bCs/>
                <w:color w:val="000000"/>
              </w:rPr>
              <w:t>Type of Service</w:t>
            </w:r>
          </w:p>
        </w:tc>
        <w:tc>
          <w:tcPr>
            <w:tcW w:w="2835" w:type="dxa"/>
            <w:tcBorders>
              <w:top w:val="double" w:sz="6" w:space="0" w:color="auto"/>
              <w:left w:val="nil"/>
              <w:bottom w:val="double" w:sz="6" w:space="0" w:color="auto"/>
              <w:right w:val="double" w:sz="6" w:space="0" w:color="auto"/>
            </w:tcBorders>
            <w:shd w:val="clear" w:color="auto" w:fill="F2F2F2"/>
            <w:tcMar>
              <w:top w:w="0" w:type="dxa"/>
              <w:left w:w="108" w:type="dxa"/>
              <w:bottom w:w="0" w:type="dxa"/>
              <w:right w:w="108" w:type="dxa"/>
            </w:tcMar>
            <w:hideMark/>
          </w:tcPr>
          <w:p w:rsidR="008C3E41" w:rsidRPr="00C520F5" w:rsidRDefault="008C3E41" w:rsidP="0035727E">
            <w:pPr>
              <w:spacing w:before="240"/>
              <w:jc w:val="center"/>
              <w:rPr>
                <w:rFonts w:ascii="Arial" w:eastAsiaTheme="minorHAnsi" w:hAnsi="Arial" w:cs="Arial"/>
                <w:b/>
                <w:bCs/>
                <w:color w:val="000000"/>
              </w:rPr>
            </w:pPr>
            <w:r w:rsidRPr="00C520F5">
              <w:rPr>
                <w:rFonts w:ascii="Arial" w:hAnsi="Arial" w:cs="Arial"/>
                <w:b/>
                <w:bCs/>
                <w:color w:val="000000"/>
              </w:rPr>
              <w:t>Total Monthly Value Excl. Vat</w:t>
            </w:r>
          </w:p>
        </w:tc>
      </w:tr>
      <w:tr w:rsidR="008C3E41" w:rsidRPr="00C520F5" w:rsidTr="00F32CC4">
        <w:trPr>
          <w:trHeight w:val="310"/>
        </w:trPr>
        <w:tc>
          <w:tcPr>
            <w:tcW w:w="2518" w:type="dxa"/>
            <w:tcBorders>
              <w:top w:val="nil"/>
              <w:left w:val="double" w:sz="6" w:space="0" w:color="auto"/>
              <w:bottom w:val="single" w:sz="8" w:space="0" w:color="auto"/>
              <w:right w:val="nil"/>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proofErr w:type="spellStart"/>
            <w:r w:rsidRPr="00C520F5">
              <w:rPr>
                <w:rFonts w:ascii="Arial" w:hAnsi="Arial" w:cs="Arial"/>
                <w:color w:val="000000"/>
              </w:rPr>
              <w:t>Sechaba</w:t>
            </w:r>
            <w:proofErr w:type="spellEnd"/>
            <w:r w:rsidR="0035727E">
              <w:rPr>
                <w:rFonts w:ascii="Arial" w:hAnsi="Arial" w:cs="Arial"/>
                <w:color w:val="000000"/>
              </w:rPr>
              <w:t xml:space="preserve"> Security</w:t>
            </w:r>
          </w:p>
        </w:tc>
        <w:tc>
          <w:tcPr>
            <w:tcW w:w="4253" w:type="dxa"/>
            <w:tcBorders>
              <w:top w:val="nil"/>
              <w:left w:val="double" w:sz="6" w:space="0" w:color="auto"/>
              <w:bottom w:val="single" w:sz="8" w:space="0" w:color="auto"/>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88 Armed guards to escort train crew</w:t>
            </w:r>
          </w:p>
        </w:tc>
        <w:tc>
          <w:tcPr>
            <w:tcW w:w="2835"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8C3E41" w:rsidRPr="00C520F5" w:rsidRDefault="00AB4E33" w:rsidP="0035727E">
            <w:pPr>
              <w:spacing w:before="240"/>
              <w:jc w:val="right"/>
              <w:rPr>
                <w:rFonts w:ascii="Arial" w:eastAsiaTheme="minorHAnsi" w:hAnsi="Arial" w:cs="Arial"/>
                <w:color w:val="000000"/>
              </w:rPr>
            </w:pPr>
            <w:r w:rsidRPr="00C520F5">
              <w:rPr>
                <w:rFonts w:ascii="Arial" w:hAnsi="Arial" w:cs="Arial"/>
                <w:color w:val="000000"/>
              </w:rPr>
              <w:t>R</w:t>
            </w:r>
            <w:r w:rsidR="008C3E41" w:rsidRPr="00C520F5">
              <w:rPr>
                <w:rFonts w:ascii="Arial" w:hAnsi="Arial" w:cs="Arial"/>
                <w:color w:val="000000"/>
              </w:rPr>
              <w:t>1,451,691</w:t>
            </w:r>
            <w:r w:rsidRPr="00C520F5">
              <w:rPr>
                <w:rFonts w:ascii="Arial" w:hAnsi="Arial" w:cs="Arial"/>
                <w:color w:val="000000"/>
              </w:rPr>
              <w:t>-</w:t>
            </w:r>
            <w:r w:rsidR="008C3E41" w:rsidRPr="00C520F5">
              <w:rPr>
                <w:rFonts w:ascii="Arial" w:hAnsi="Arial" w:cs="Arial"/>
                <w:color w:val="000000"/>
              </w:rPr>
              <w:t>36</w:t>
            </w:r>
          </w:p>
        </w:tc>
      </w:tr>
      <w:tr w:rsidR="008C3E41" w:rsidRPr="00C520F5" w:rsidTr="00F32CC4">
        <w:trPr>
          <w:trHeight w:val="300"/>
        </w:trPr>
        <w:tc>
          <w:tcPr>
            <w:tcW w:w="2518" w:type="dxa"/>
            <w:tcBorders>
              <w:top w:val="nil"/>
              <w:left w:val="double" w:sz="6" w:space="0" w:color="auto"/>
              <w:bottom w:val="single" w:sz="8" w:space="0" w:color="auto"/>
              <w:right w:val="nil"/>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Red Ants</w:t>
            </w:r>
          </w:p>
        </w:tc>
        <w:tc>
          <w:tcPr>
            <w:tcW w:w="4253" w:type="dxa"/>
            <w:tcBorders>
              <w:top w:val="nil"/>
              <w:left w:val="double" w:sz="6" w:space="0" w:color="auto"/>
              <w:bottom w:val="single" w:sz="8" w:space="0" w:color="auto"/>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4 Armored Vehicles and 4 crew</w:t>
            </w:r>
          </w:p>
        </w:tc>
        <w:tc>
          <w:tcPr>
            <w:tcW w:w="2835"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jc w:val="right"/>
              <w:rPr>
                <w:rFonts w:ascii="Arial" w:eastAsiaTheme="minorHAnsi" w:hAnsi="Arial" w:cs="Arial"/>
                <w:color w:val="000000"/>
              </w:rPr>
            </w:pPr>
            <w:r w:rsidRPr="00C520F5">
              <w:rPr>
                <w:rFonts w:ascii="Arial" w:hAnsi="Arial" w:cs="Arial"/>
                <w:color w:val="000000"/>
              </w:rPr>
              <w:t>R636,419</w:t>
            </w:r>
            <w:r w:rsidR="00AB4E33" w:rsidRPr="00C520F5">
              <w:rPr>
                <w:rFonts w:ascii="Arial" w:hAnsi="Arial" w:cs="Arial"/>
                <w:color w:val="000000"/>
              </w:rPr>
              <w:t>-00</w:t>
            </w:r>
          </w:p>
        </w:tc>
      </w:tr>
      <w:tr w:rsidR="008C3E41" w:rsidRPr="00C520F5" w:rsidTr="00F32CC4">
        <w:trPr>
          <w:trHeight w:val="300"/>
        </w:trPr>
        <w:tc>
          <w:tcPr>
            <w:tcW w:w="2518" w:type="dxa"/>
            <w:tcBorders>
              <w:top w:val="nil"/>
              <w:left w:val="double" w:sz="6" w:space="0" w:color="auto"/>
              <w:bottom w:val="single" w:sz="8" w:space="0" w:color="auto"/>
              <w:right w:val="nil"/>
            </w:tcBorders>
            <w:tcMar>
              <w:top w:w="0" w:type="dxa"/>
              <w:left w:w="108" w:type="dxa"/>
              <w:bottom w:w="0" w:type="dxa"/>
              <w:right w:w="108" w:type="dxa"/>
            </w:tcMar>
            <w:vAlign w:val="center"/>
            <w:hideMark/>
          </w:tcPr>
          <w:p w:rsidR="008C3E41" w:rsidRPr="00C520F5" w:rsidRDefault="0035727E" w:rsidP="0035727E">
            <w:pPr>
              <w:spacing w:before="240"/>
              <w:rPr>
                <w:rFonts w:ascii="Arial" w:eastAsiaTheme="minorHAnsi" w:hAnsi="Arial" w:cs="Arial"/>
                <w:color w:val="000000"/>
              </w:rPr>
            </w:pPr>
            <w:r>
              <w:rPr>
                <w:rFonts w:ascii="Arial" w:hAnsi="Arial" w:cs="Arial"/>
                <w:color w:val="000000"/>
              </w:rPr>
              <w:t xml:space="preserve">UAV </w:t>
            </w:r>
            <w:r w:rsidR="008C3E41" w:rsidRPr="00C520F5">
              <w:rPr>
                <w:rFonts w:ascii="Arial" w:hAnsi="Arial" w:cs="Arial"/>
                <w:color w:val="000000"/>
              </w:rPr>
              <w:t>Drone Solutions</w:t>
            </w:r>
          </w:p>
        </w:tc>
        <w:tc>
          <w:tcPr>
            <w:tcW w:w="4253" w:type="dxa"/>
            <w:tcBorders>
              <w:top w:val="nil"/>
              <w:left w:val="double" w:sz="6" w:space="0" w:color="auto"/>
              <w:bottom w:val="single" w:sz="8" w:space="0" w:color="auto"/>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Drone Aircrafts</w:t>
            </w:r>
          </w:p>
        </w:tc>
        <w:tc>
          <w:tcPr>
            <w:tcW w:w="2835" w:type="dxa"/>
            <w:tcBorders>
              <w:top w:val="nil"/>
              <w:left w:val="nil"/>
              <w:bottom w:val="single" w:sz="8" w:space="0" w:color="auto"/>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jc w:val="right"/>
              <w:rPr>
                <w:rFonts w:ascii="Arial" w:eastAsiaTheme="minorHAnsi" w:hAnsi="Arial" w:cs="Arial"/>
                <w:color w:val="000000"/>
              </w:rPr>
            </w:pPr>
            <w:r w:rsidRPr="00C520F5">
              <w:rPr>
                <w:rFonts w:ascii="Arial" w:hAnsi="Arial" w:cs="Arial"/>
                <w:color w:val="000000"/>
              </w:rPr>
              <w:t>R480,000</w:t>
            </w:r>
            <w:r w:rsidR="00AB4E33" w:rsidRPr="00C520F5">
              <w:rPr>
                <w:rFonts w:ascii="Arial" w:hAnsi="Arial" w:cs="Arial"/>
                <w:color w:val="000000"/>
              </w:rPr>
              <w:t>-</w:t>
            </w:r>
            <w:r w:rsidRPr="00C520F5">
              <w:rPr>
                <w:rFonts w:ascii="Arial" w:hAnsi="Arial" w:cs="Arial"/>
                <w:color w:val="000000"/>
              </w:rPr>
              <w:t>00</w:t>
            </w:r>
          </w:p>
        </w:tc>
      </w:tr>
      <w:tr w:rsidR="008C3E41" w:rsidRPr="00C520F5" w:rsidTr="00F32CC4">
        <w:trPr>
          <w:trHeight w:val="310"/>
        </w:trPr>
        <w:tc>
          <w:tcPr>
            <w:tcW w:w="2518" w:type="dxa"/>
            <w:tcBorders>
              <w:top w:val="nil"/>
              <w:left w:val="double" w:sz="6" w:space="0" w:color="auto"/>
              <w:bottom w:val="nil"/>
              <w:right w:val="nil"/>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Combined Private Investigations</w:t>
            </w:r>
          </w:p>
        </w:tc>
        <w:tc>
          <w:tcPr>
            <w:tcW w:w="4253" w:type="dxa"/>
            <w:tcBorders>
              <w:top w:val="nil"/>
              <w:left w:val="double" w:sz="6" w:space="0" w:color="auto"/>
              <w:bottom w:val="nil"/>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rPr>
                <w:rFonts w:ascii="Arial" w:eastAsiaTheme="minorHAnsi" w:hAnsi="Arial" w:cs="Arial"/>
                <w:color w:val="000000"/>
              </w:rPr>
            </w:pPr>
            <w:r w:rsidRPr="00C520F5">
              <w:rPr>
                <w:rFonts w:ascii="Arial" w:hAnsi="Arial" w:cs="Arial"/>
                <w:color w:val="000000"/>
              </w:rPr>
              <w:t>Forensic Investigations</w:t>
            </w:r>
          </w:p>
        </w:tc>
        <w:tc>
          <w:tcPr>
            <w:tcW w:w="2835" w:type="dxa"/>
            <w:tcBorders>
              <w:top w:val="nil"/>
              <w:left w:val="nil"/>
              <w:bottom w:val="nil"/>
              <w:right w:val="double" w:sz="6" w:space="0" w:color="auto"/>
            </w:tcBorders>
            <w:tcMar>
              <w:top w:w="0" w:type="dxa"/>
              <w:left w:w="108" w:type="dxa"/>
              <w:bottom w:w="0" w:type="dxa"/>
              <w:right w:w="108" w:type="dxa"/>
            </w:tcMar>
            <w:vAlign w:val="center"/>
            <w:hideMark/>
          </w:tcPr>
          <w:p w:rsidR="008C3E41" w:rsidRPr="00C520F5" w:rsidRDefault="008C3E41" w:rsidP="0035727E">
            <w:pPr>
              <w:spacing w:before="240"/>
              <w:jc w:val="right"/>
              <w:rPr>
                <w:rFonts w:ascii="Arial" w:eastAsiaTheme="minorHAnsi" w:hAnsi="Arial" w:cs="Arial"/>
                <w:color w:val="000000"/>
              </w:rPr>
            </w:pPr>
            <w:r w:rsidRPr="00C520F5">
              <w:rPr>
                <w:rFonts w:ascii="Arial" w:hAnsi="Arial" w:cs="Arial"/>
                <w:color w:val="000000"/>
              </w:rPr>
              <w:t>R1,363,034</w:t>
            </w:r>
            <w:r w:rsidR="00AB4E33" w:rsidRPr="00C520F5">
              <w:rPr>
                <w:rFonts w:ascii="Arial" w:hAnsi="Arial" w:cs="Arial"/>
                <w:color w:val="000000"/>
              </w:rPr>
              <w:t>-</w:t>
            </w:r>
            <w:r w:rsidRPr="00C520F5">
              <w:rPr>
                <w:rFonts w:ascii="Arial" w:hAnsi="Arial" w:cs="Arial"/>
                <w:color w:val="000000"/>
              </w:rPr>
              <w:t>00</w:t>
            </w:r>
          </w:p>
        </w:tc>
      </w:tr>
      <w:tr w:rsidR="008C3E41" w:rsidRPr="00C520F5" w:rsidTr="00F32CC4">
        <w:trPr>
          <w:trHeight w:val="320"/>
        </w:trPr>
        <w:tc>
          <w:tcPr>
            <w:tcW w:w="6771" w:type="dxa"/>
            <w:gridSpan w:val="2"/>
            <w:tcBorders>
              <w:top w:val="double" w:sz="6" w:space="0" w:color="auto"/>
              <w:left w:val="double" w:sz="6" w:space="0" w:color="auto"/>
              <w:bottom w:val="double" w:sz="6" w:space="0" w:color="auto"/>
              <w:right w:val="double" w:sz="6" w:space="0" w:color="000000"/>
            </w:tcBorders>
            <w:shd w:val="clear" w:color="auto" w:fill="F2F2F2"/>
            <w:tcMar>
              <w:top w:w="0" w:type="dxa"/>
              <w:left w:w="108" w:type="dxa"/>
              <w:bottom w:w="0" w:type="dxa"/>
              <w:right w:w="108" w:type="dxa"/>
            </w:tcMar>
            <w:vAlign w:val="center"/>
            <w:hideMark/>
          </w:tcPr>
          <w:p w:rsidR="008C3E41" w:rsidRPr="00C520F5" w:rsidRDefault="008C3E41" w:rsidP="0035727E">
            <w:pPr>
              <w:spacing w:before="240"/>
              <w:jc w:val="center"/>
              <w:rPr>
                <w:rFonts w:ascii="Arial" w:eastAsiaTheme="minorHAnsi" w:hAnsi="Arial" w:cs="Arial"/>
                <w:b/>
                <w:bCs/>
                <w:color w:val="000000"/>
              </w:rPr>
            </w:pPr>
            <w:r w:rsidRPr="00C520F5">
              <w:rPr>
                <w:rFonts w:ascii="Arial" w:hAnsi="Arial" w:cs="Arial"/>
                <w:b/>
                <w:bCs/>
                <w:color w:val="000000"/>
              </w:rPr>
              <w:t>Total Per Month Excl. Vat</w:t>
            </w:r>
          </w:p>
        </w:tc>
        <w:tc>
          <w:tcPr>
            <w:tcW w:w="2835" w:type="dxa"/>
            <w:tcBorders>
              <w:top w:val="double" w:sz="6" w:space="0" w:color="auto"/>
              <w:left w:val="nil"/>
              <w:bottom w:val="double" w:sz="6" w:space="0" w:color="auto"/>
              <w:right w:val="double" w:sz="6" w:space="0" w:color="auto"/>
            </w:tcBorders>
            <w:shd w:val="clear" w:color="auto" w:fill="F2F2F2"/>
            <w:tcMar>
              <w:top w:w="0" w:type="dxa"/>
              <w:left w:w="108" w:type="dxa"/>
              <w:bottom w:w="0" w:type="dxa"/>
              <w:right w:w="108" w:type="dxa"/>
            </w:tcMar>
            <w:vAlign w:val="center"/>
            <w:hideMark/>
          </w:tcPr>
          <w:p w:rsidR="008C3E41" w:rsidRPr="00C520F5" w:rsidRDefault="008C3E41" w:rsidP="0035727E">
            <w:pPr>
              <w:spacing w:before="240"/>
              <w:jc w:val="right"/>
              <w:rPr>
                <w:rFonts w:ascii="Arial" w:eastAsiaTheme="minorHAnsi" w:hAnsi="Arial" w:cs="Arial"/>
                <w:b/>
                <w:bCs/>
                <w:color w:val="000000"/>
              </w:rPr>
            </w:pPr>
            <w:r w:rsidRPr="00C520F5">
              <w:rPr>
                <w:rFonts w:ascii="Arial" w:hAnsi="Arial" w:cs="Arial"/>
                <w:b/>
                <w:bCs/>
                <w:color w:val="000000"/>
              </w:rPr>
              <w:t>R3,931,144</w:t>
            </w:r>
            <w:r w:rsidR="00AB4E33" w:rsidRPr="00C520F5">
              <w:rPr>
                <w:rFonts w:ascii="Arial" w:hAnsi="Arial" w:cs="Arial"/>
                <w:b/>
                <w:bCs/>
                <w:color w:val="000000"/>
              </w:rPr>
              <w:t>-</w:t>
            </w:r>
            <w:r w:rsidRPr="00C520F5">
              <w:rPr>
                <w:rFonts w:ascii="Arial" w:hAnsi="Arial" w:cs="Arial"/>
                <w:b/>
                <w:bCs/>
                <w:color w:val="000000"/>
              </w:rPr>
              <w:t>36</w:t>
            </w:r>
          </w:p>
        </w:tc>
      </w:tr>
      <w:tr w:rsidR="008C3E41" w:rsidRPr="00C520F5" w:rsidTr="00F32CC4">
        <w:trPr>
          <w:trHeight w:val="320"/>
        </w:trPr>
        <w:tc>
          <w:tcPr>
            <w:tcW w:w="6771" w:type="dxa"/>
            <w:gridSpan w:val="2"/>
            <w:tcBorders>
              <w:top w:val="nil"/>
              <w:left w:val="double" w:sz="6" w:space="0" w:color="auto"/>
              <w:bottom w:val="double" w:sz="6" w:space="0" w:color="auto"/>
              <w:right w:val="double" w:sz="6" w:space="0" w:color="000000"/>
            </w:tcBorders>
            <w:shd w:val="clear" w:color="auto" w:fill="F2F2F2"/>
            <w:tcMar>
              <w:top w:w="0" w:type="dxa"/>
              <w:left w:w="108" w:type="dxa"/>
              <w:bottom w:w="0" w:type="dxa"/>
              <w:right w:w="108" w:type="dxa"/>
            </w:tcMar>
            <w:vAlign w:val="center"/>
            <w:hideMark/>
          </w:tcPr>
          <w:p w:rsidR="008C3E41" w:rsidRPr="00C520F5" w:rsidRDefault="008C3E41" w:rsidP="0035727E">
            <w:pPr>
              <w:spacing w:before="240"/>
              <w:jc w:val="center"/>
              <w:rPr>
                <w:rFonts w:ascii="Arial" w:eastAsiaTheme="minorHAnsi" w:hAnsi="Arial" w:cs="Arial"/>
                <w:b/>
                <w:bCs/>
                <w:color w:val="000000"/>
              </w:rPr>
            </w:pPr>
            <w:r w:rsidRPr="00C520F5">
              <w:rPr>
                <w:rFonts w:ascii="Arial" w:hAnsi="Arial" w:cs="Arial"/>
                <w:b/>
                <w:bCs/>
                <w:color w:val="000000"/>
              </w:rPr>
              <w:t xml:space="preserve">Total Value Excl. Vat for Six Months </w:t>
            </w:r>
          </w:p>
        </w:tc>
        <w:tc>
          <w:tcPr>
            <w:tcW w:w="2835" w:type="dxa"/>
            <w:tcBorders>
              <w:top w:val="nil"/>
              <w:left w:val="nil"/>
              <w:bottom w:val="double" w:sz="6" w:space="0" w:color="auto"/>
              <w:right w:val="double" w:sz="6" w:space="0" w:color="auto"/>
            </w:tcBorders>
            <w:shd w:val="clear" w:color="auto" w:fill="F2F2F2"/>
            <w:tcMar>
              <w:top w:w="0" w:type="dxa"/>
              <w:left w:w="108" w:type="dxa"/>
              <w:bottom w:w="0" w:type="dxa"/>
              <w:right w:w="108" w:type="dxa"/>
            </w:tcMar>
            <w:vAlign w:val="center"/>
            <w:hideMark/>
          </w:tcPr>
          <w:p w:rsidR="008C3E41" w:rsidRPr="00C520F5" w:rsidRDefault="0035727E" w:rsidP="0035727E">
            <w:pPr>
              <w:spacing w:before="240"/>
              <w:jc w:val="right"/>
              <w:rPr>
                <w:rFonts w:ascii="Arial" w:eastAsiaTheme="minorHAnsi" w:hAnsi="Arial" w:cs="Arial"/>
                <w:b/>
                <w:bCs/>
                <w:color w:val="000000"/>
              </w:rPr>
            </w:pPr>
            <w:r>
              <w:rPr>
                <w:rFonts w:ascii="Arial" w:hAnsi="Arial" w:cs="Arial"/>
                <w:b/>
                <w:bCs/>
                <w:color w:val="000000"/>
              </w:rPr>
              <w:t>R</w:t>
            </w:r>
            <w:r w:rsidR="008C3E41" w:rsidRPr="00C520F5">
              <w:rPr>
                <w:rFonts w:ascii="Arial" w:hAnsi="Arial" w:cs="Arial"/>
                <w:b/>
                <w:bCs/>
                <w:color w:val="000000"/>
              </w:rPr>
              <w:t>23,586,866</w:t>
            </w:r>
            <w:r w:rsidR="00AB4E33" w:rsidRPr="00C520F5">
              <w:rPr>
                <w:rFonts w:ascii="Arial" w:hAnsi="Arial" w:cs="Arial"/>
                <w:b/>
                <w:bCs/>
                <w:color w:val="000000"/>
              </w:rPr>
              <w:t>-</w:t>
            </w:r>
            <w:r w:rsidR="008C3E41" w:rsidRPr="00C520F5">
              <w:rPr>
                <w:rFonts w:ascii="Arial" w:hAnsi="Arial" w:cs="Arial"/>
                <w:b/>
                <w:bCs/>
                <w:color w:val="000000"/>
              </w:rPr>
              <w:t>16</w:t>
            </w:r>
          </w:p>
        </w:tc>
      </w:tr>
    </w:tbl>
    <w:p w:rsidR="00DC309C" w:rsidRPr="00C520F5" w:rsidRDefault="00DC309C" w:rsidP="0035727E">
      <w:pPr>
        <w:pStyle w:val="ListParagraph"/>
        <w:spacing w:before="240"/>
        <w:jc w:val="both"/>
        <w:rPr>
          <w:rFonts w:ascii="Arial" w:hAnsi="Arial" w:cs="Arial"/>
          <w:lang w:val="en-ZA" w:eastAsia="x-none"/>
        </w:rPr>
      </w:pPr>
    </w:p>
    <w:p w:rsidR="00C729C9" w:rsidRPr="00C520F5" w:rsidRDefault="00C520F5" w:rsidP="0035727E">
      <w:pPr>
        <w:pStyle w:val="ListParagraph"/>
        <w:spacing w:before="240"/>
        <w:jc w:val="both"/>
        <w:rPr>
          <w:rFonts w:ascii="Arial" w:hAnsi="Arial" w:cs="Arial"/>
          <w:lang w:val="en-ZA" w:eastAsia="x-none"/>
        </w:rPr>
      </w:pPr>
      <w:r>
        <w:rPr>
          <w:rFonts w:ascii="Arial" w:hAnsi="Arial" w:cs="Arial"/>
          <w:lang w:val="en-ZA" w:eastAsia="x-none"/>
        </w:rPr>
        <w:t>(</w:t>
      </w:r>
      <w:r w:rsidR="00C729C9" w:rsidRPr="00C520F5">
        <w:rPr>
          <w:rFonts w:ascii="Arial" w:hAnsi="Arial" w:cs="Arial"/>
          <w:lang w:val="en-ZA" w:eastAsia="x-none"/>
        </w:rPr>
        <w:t>c) The deliverables for the respective companies are as follows:</w:t>
      </w:r>
    </w:p>
    <w:p w:rsidR="00C67D3F" w:rsidRPr="00C520F5" w:rsidRDefault="00C67D3F" w:rsidP="0035727E">
      <w:pPr>
        <w:pStyle w:val="ListParagraph"/>
        <w:numPr>
          <w:ilvl w:val="1"/>
          <w:numId w:val="31"/>
        </w:numPr>
        <w:spacing w:before="240"/>
        <w:jc w:val="both"/>
        <w:rPr>
          <w:rFonts w:ascii="Arial" w:hAnsi="Arial" w:cs="Arial"/>
          <w:lang w:val="en-ZA" w:eastAsia="x-none"/>
        </w:rPr>
      </w:pPr>
      <w:r w:rsidRPr="00C520F5">
        <w:rPr>
          <w:rFonts w:ascii="Arial" w:hAnsi="Arial" w:cs="Arial"/>
          <w:lang w:val="en-ZA" w:eastAsia="x-none"/>
        </w:rPr>
        <w:t xml:space="preserve">UAV Drone Solutions for night patrols and location of criminals / syndicates digging and slashing cables. </w:t>
      </w:r>
    </w:p>
    <w:p w:rsidR="00C67D3F" w:rsidRPr="00C520F5" w:rsidRDefault="00C67D3F" w:rsidP="0035727E">
      <w:pPr>
        <w:pStyle w:val="ListParagraph"/>
        <w:numPr>
          <w:ilvl w:val="1"/>
          <w:numId w:val="31"/>
        </w:numPr>
        <w:spacing w:before="240"/>
        <w:jc w:val="both"/>
        <w:rPr>
          <w:rFonts w:ascii="Arial" w:hAnsi="Arial" w:cs="Arial"/>
          <w:lang w:val="en-ZA" w:eastAsia="x-none"/>
        </w:rPr>
      </w:pPr>
      <w:r w:rsidRPr="00C520F5">
        <w:rPr>
          <w:rFonts w:ascii="Arial" w:hAnsi="Arial" w:cs="Arial"/>
          <w:lang w:val="en-ZA" w:eastAsia="x-none"/>
        </w:rPr>
        <w:t xml:space="preserve">Red Ants for the provisions of two armoured vehicles day and night with a response team of 8 day and 8 night for the protection of technical staff who are called out for repairs of damaged infrastructure as well as escort duties during routine maintenance. This was done due to ongoing attacks of PRASA staff on the Central Line. It was also reported that on occasion criminals boarded the trains to rob passengers. </w:t>
      </w:r>
    </w:p>
    <w:p w:rsidR="00031EF5" w:rsidRPr="00C520F5" w:rsidRDefault="00C67D3F" w:rsidP="0035727E">
      <w:pPr>
        <w:pStyle w:val="ListParagraph"/>
        <w:numPr>
          <w:ilvl w:val="1"/>
          <w:numId w:val="31"/>
        </w:numPr>
        <w:spacing w:before="240"/>
        <w:jc w:val="both"/>
        <w:rPr>
          <w:rFonts w:ascii="Arial" w:hAnsi="Arial" w:cs="Arial"/>
          <w:lang w:val="en-ZA" w:eastAsia="x-none"/>
        </w:rPr>
      </w:pPr>
      <w:r w:rsidRPr="00C520F5">
        <w:rPr>
          <w:rFonts w:ascii="Arial" w:hAnsi="Arial" w:cs="Arial"/>
          <w:lang w:val="en-ZA" w:eastAsia="x-none"/>
        </w:rPr>
        <w:t xml:space="preserve"> Deployment of 88 Armed Guards provided by </w:t>
      </w:r>
      <w:proofErr w:type="spellStart"/>
      <w:r w:rsidRPr="00C520F5">
        <w:rPr>
          <w:rFonts w:ascii="Arial" w:hAnsi="Arial" w:cs="Arial"/>
          <w:lang w:val="en-ZA" w:eastAsia="x-none"/>
        </w:rPr>
        <w:t>Sechaba</w:t>
      </w:r>
      <w:proofErr w:type="spellEnd"/>
      <w:r w:rsidRPr="00C520F5">
        <w:rPr>
          <w:rFonts w:ascii="Arial" w:hAnsi="Arial" w:cs="Arial"/>
          <w:lang w:val="en-ZA" w:eastAsia="x-none"/>
        </w:rPr>
        <w:t xml:space="preserve"> Security for the protection of train crews and passengers at the turn around points as well as identified high risk stations on the central line. </w:t>
      </w:r>
    </w:p>
    <w:p w:rsidR="00614494" w:rsidRPr="00C520F5" w:rsidRDefault="00C31552" w:rsidP="0035727E">
      <w:pPr>
        <w:pStyle w:val="ListParagraph"/>
        <w:numPr>
          <w:ilvl w:val="1"/>
          <w:numId w:val="31"/>
        </w:numPr>
        <w:spacing w:before="240"/>
        <w:jc w:val="both"/>
        <w:rPr>
          <w:rFonts w:ascii="Arial" w:hAnsi="Arial" w:cs="Arial"/>
          <w:lang w:val="en-ZA" w:eastAsia="x-none"/>
        </w:rPr>
      </w:pPr>
      <w:r w:rsidRPr="00C520F5">
        <w:rPr>
          <w:rFonts w:ascii="Arial" w:hAnsi="Arial" w:cs="Arial"/>
          <w:lang w:val="en-ZA" w:eastAsia="x-none"/>
        </w:rPr>
        <w:lastRenderedPageBreak/>
        <w:t xml:space="preserve">Combined Private Investigations </w:t>
      </w:r>
      <w:r w:rsidR="00DC309C" w:rsidRPr="00C520F5">
        <w:rPr>
          <w:rFonts w:ascii="Arial" w:hAnsi="Arial" w:cs="Arial"/>
          <w:lang w:val="en-ZA" w:eastAsia="x-none"/>
        </w:rPr>
        <w:t xml:space="preserve">were procured to provide forensic investigation services and improve the rate of successful prosecutions for copper theft from 5% to 80% over the next six months. </w:t>
      </w:r>
    </w:p>
    <w:p w:rsidR="00614494" w:rsidRPr="00C520F5" w:rsidRDefault="00614494" w:rsidP="0035727E">
      <w:pPr>
        <w:pStyle w:val="ListParagraph"/>
        <w:spacing w:before="240"/>
        <w:jc w:val="both"/>
        <w:rPr>
          <w:rFonts w:ascii="Arial" w:hAnsi="Arial" w:cs="Arial"/>
          <w:lang w:val="en-ZA" w:eastAsia="x-none"/>
        </w:rPr>
      </w:pPr>
    </w:p>
    <w:p w:rsidR="00C729C9" w:rsidRPr="00C520F5" w:rsidRDefault="00C729C9" w:rsidP="0035727E">
      <w:pPr>
        <w:pStyle w:val="ListParagraph"/>
        <w:spacing w:before="240"/>
        <w:jc w:val="both"/>
        <w:rPr>
          <w:rFonts w:ascii="Arial" w:hAnsi="Arial" w:cs="Arial"/>
          <w:lang w:val="en-ZA" w:eastAsia="x-none"/>
        </w:rPr>
      </w:pPr>
      <w:r w:rsidRPr="00C520F5">
        <w:rPr>
          <w:rFonts w:ascii="Arial" w:hAnsi="Arial" w:cs="Arial"/>
          <w:lang w:val="en-ZA" w:eastAsia="x-none"/>
        </w:rPr>
        <w:t>(d) The companies are as follow:</w:t>
      </w:r>
    </w:p>
    <w:p w:rsidR="00C729C9" w:rsidRPr="00C520F5" w:rsidRDefault="00C729C9" w:rsidP="0035727E">
      <w:pPr>
        <w:pStyle w:val="ListParagraph"/>
        <w:numPr>
          <w:ilvl w:val="0"/>
          <w:numId w:val="28"/>
        </w:numPr>
        <w:spacing w:before="240"/>
        <w:ind w:left="1418" w:hanging="425"/>
        <w:jc w:val="both"/>
        <w:rPr>
          <w:rFonts w:ascii="Arial" w:hAnsi="Arial" w:cs="Arial"/>
          <w:lang w:val="en-ZA" w:eastAsia="x-none"/>
        </w:rPr>
      </w:pPr>
      <w:r w:rsidRPr="00C520F5">
        <w:rPr>
          <w:rFonts w:ascii="Arial" w:hAnsi="Arial" w:cs="Arial"/>
          <w:lang w:val="en-ZA" w:eastAsia="x-none"/>
        </w:rPr>
        <w:t xml:space="preserve">UAV </w:t>
      </w:r>
      <w:r w:rsidR="0035727E">
        <w:rPr>
          <w:rFonts w:ascii="Arial" w:hAnsi="Arial" w:cs="Arial"/>
          <w:lang w:val="en-ZA" w:eastAsia="x-none"/>
        </w:rPr>
        <w:t>Drone Solutions</w:t>
      </w:r>
    </w:p>
    <w:p w:rsidR="00614494" w:rsidRPr="00C520F5" w:rsidRDefault="00614494" w:rsidP="0035727E">
      <w:pPr>
        <w:pStyle w:val="ListParagraph"/>
        <w:numPr>
          <w:ilvl w:val="0"/>
          <w:numId w:val="28"/>
        </w:numPr>
        <w:spacing w:before="240"/>
        <w:ind w:left="1418" w:hanging="425"/>
        <w:jc w:val="both"/>
        <w:rPr>
          <w:rFonts w:ascii="Arial" w:hAnsi="Arial" w:cs="Arial"/>
          <w:lang w:val="en-ZA" w:eastAsia="x-none"/>
        </w:rPr>
      </w:pPr>
      <w:r w:rsidRPr="00C520F5">
        <w:rPr>
          <w:rFonts w:ascii="Arial" w:hAnsi="Arial" w:cs="Arial"/>
          <w:lang w:val="en-ZA" w:eastAsia="x-none"/>
        </w:rPr>
        <w:t xml:space="preserve">Red Ants </w:t>
      </w:r>
    </w:p>
    <w:p w:rsidR="00614494" w:rsidRPr="00C520F5" w:rsidRDefault="00614494" w:rsidP="0035727E">
      <w:pPr>
        <w:pStyle w:val="ListParagraph"/>
        <w:numPr>
          <w:ilvl w:val="0"/>
          <w:numId w:val="28"/>
        </w:numPr>
        <w:spacing w:before="240"/>
        <w:ind w:left="1418" w:hanging="425"/>
        <w:jc w:val="both"/>
        <w:rPr>
          <w:rFonts w:ascii="Arial" w:hAnsi="Arial" w:cs="Arial"/>
          <w:lang w:val="en-ZA" w:eastAsia="x-none"/>
        </w:rPr>
      </w:pPr>
      <w:proofErr w:type="spellStart"/>
      <w:r w:rsidRPr="00C520F5">
        <w:rPr>
          <w:rFonts w:ascii="Arial" w:hAnsi="Arial" w:cs="Arial"/>
          <w:lang w:val="en-ZA" w:eastAsia="x-none"/>
        </w:rPr>
        <w:t>Sechaba</w:t>
      </w:r>
      <w:proofErr w:type="spellEnd"/>
      <w:r w:rsidRPr="00C520F5">
        <w:rPr>
          <w:rFonts w:ascii="Arial" w:hAnsi="Arial" w:cs="Arial"/>
          <w:lang w:val="en-ZA" w:eastAsia="x-none"/>
        </w:rPr>
        <w:t xml:space="preserve"> Security </w:t>
      </w:r>
    </w:p>
    <w:p w:rsidR="00C31552" w:rsidRPr="00C520F5" w:rsidRDefault="00C31552" w:rsidP="0035727E">
      <w:pPr>
        <w:pStyle w:val="ListParagraph"/>
        <w:numPr>
          <w:ilvl w:val="0"/>
          <w:numId w:val="28"/>
        </w:numPr>
        <w:spacing w:before="240"/>
        <w:ind w:left="1418" w:hanging="425"/>
        <w:jc w:val="both"/>
        <w:rPr>
          <w:rFonts w:ascii="Arial" w:hAnsi="Arial" w:cs="Arial"/>
          <w:lang w:val="en-ZA" w:eastAsia="x-none"/>
        </w:rPr>
      </w:pPr>
      <w:r w:rsidRPr="00C520F5">
        <w:rPr>
          <w:rFonts w:ascii="Arial" w:hAnsi="Arial" w:cs="Arial"/>
          <w:lang w:val="en-ZA" w:eastAsia="x-none"/>
        </w:rPr>
        <w:t>Combined Private Investigations</w:t>
      </w:r>
    </w:p>
    <w:p w:rsidR="00DC309C" w:rsidRPr="00C520F5" w:rsidRDefault="00DC309C" w:rsidP="0035727E">
      <w:pPr>
        <w:spacing w:before="240"/>
        <w:jc w:val="both"/>
        <w:rPr>
          <w:rFonts w:ascii="Arial" w:hAnsi="Arial" w:cs="Arial"/>
          <w:lang w:val="en-ZA" w:eastAsia="x-none"/>
        </w:rPr>
      </w:pPr>
    </w:p>
    <w:p w:rsidR="00DC309C" w:rsidRPr="00C520F5" w:rsidRDefault="00DC309C" w:rsidP="0035727E">
      <w:pPr>
        <w:spacing w:before="240"/>
        <w:ind w:left="720"/>
        <w:jc w:val="both"/>
        <w:rPr>
          <w:rFonts w:ascii="Arial" w:hAnsi="Arial" w:cs="Arial"/>
          <w:lang w:val="en-ZA" w:eastAsia="x-none"/>
        </w:rPr>
      </w:pPr>
      <w:r w:rsidRPr="00C520F5">
        <w:rPr>
          <w:rFonts w:ascii="Arial" w:hAnsi="Arial" w:cs="Arial"/>
          <w:lang w:val="en-ZA" w:eastAsia="x-none"/>
        </w:rPr>
        <w:t xml:space="preserve">(e) There no further information. </w:t>
      </w:r>
    </w:p>
    <w:p w:rsidR="000C5A6F" w:rsidRPr="00C520F5" w:rsidRDefault="000C5A6F" w:rsidP="0035727E">
      <w:pPr>
        <w:spacing w:before="240"/>
        <w:jc w:val="both"/>
        <w:rPr>
          <w:rFonts w:ascii="Arial" w:hAnsi="Arial" w:cs="Arial"/>
          <w:lang w:val="en-ZA" w:eastAsia="x-none"/>
        </w:rPr>
      </w:pPr>
    </w:p>
    <w:sectPr w:rsidR="000C5A6F" w:rsidRPr="00C520F5" w:rsidSect="006E550E">
      <w:footerReference w:type="default" r:id="rId9"/>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31" w:rsidRDefault="007A0B31" w:rsidP="00DB1508">
      <w:pPr>
        <w:spacing w:after="0" w:line="240" w:lineRule="auto"/>
      </w:pPr>
      <w:r>
        <w:separator/>
      </w:r>
    </w:p>
  </w:endnote>
  <w:endnote w:type="continuationSeparator" w:id="0">
    <w:p w:rsidR="007A0B31" w:rsidRDefault="007A0B3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71239"/>
      <w:docPartObj>
        <w:docPartGallery w:val="Page Numbers (Bottom of Page)"/>
        <w:docPartUnique/>
      </w:docPartObj>
    </w:sdtPr>
    <w:sdtEndPr>
      <w:rPr>
        <w:noProof/>
      </w:rPr>
    </w:sdtEndPr>
    <w:sdtContent>
      <w:p w:rsidR="007E3B8E" w:rsidRDefault="007E3B8E">
        <w:pPr>
          <w:pStyle w:val="Footer"/>
          <w:jc w:val="center"/>
        </w:pPr>
        <w:r>
          <w:fldChar w:fldCharType="begin"/>
        </w:r>
        <w:r>
          <w:instrText xml:space="preserve"> PAGE   \* MERGEFORMAT </w:instrText>
        </w:r>
        <w:r>
          <w:fldChar w:fldCharType="separate"/>
        </w:r>
        <w:r w:rsidR="00732186">
          <w:rPr>
            <w:noProof/>
          </w:rPr>
          <w:t>1</w:t>
        </w:r>
        <w:r>
          <w:rPr>
            <w:noProof/>
          </w:rPr>
          <w:fldChar w:fldCharType="end"/>
        </w:r>
      </w:p>
    </w:sdtContent>
  </w:sdt>
  <w:p w:rsidR="007E3B8E" w:rsidRDefault="007E3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31" w:rsidRDefault="007A0B31" w:rsidP="00DB1508">
      <w:pPr>
        <w:spacing w:after="0" w:line="240" w:lineRule="auto"/>
      </w:pPr>
      <w:r>
        <w:separator/>
      </w:r>
    </w:p>
  </w:footnote>
  <w:footnote w:type="continuationSeparator" w:id="0">
    <w:p w:rsidR="007A0B31" w:rsidRDefault="007A0B3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194D"/>
    <w:multiLevelType w:val="hybridMultilevel"/>
    <w:tmpl w:val="CB40CB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6205F6"/>
    <w:multiLevelType w:val="hybridMultilevel"/>
    <w:tmpl w:val="001A63D4"/>
    <w:lvl w:ilvl="0" w:tplc="0C1A7FE6">
      <w:start w:val="1"/>
      <w:numFmt w:val="decimal"/>
      <w:lvlText w:val="(%1)"/>
      <w:lvlJc w:val="left"/>
      <w:pPr>
        <w:ind w:left="720" w:hanging="360"/>
      </w:pPr>
      <w:rPr>
        <w:rFonts w:hint="default"/>
      </w:r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2106DA"/>
    <w:multiLevelType w:val="hybridMultilevel"/>
    <w:tmpl w:val="2904F0DC"/>
    <w:lvl w:ilvl="0" w:tplc="0C1A7FE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A4C38D8"/>
    <w:multiLevelType w:val="hybridMultilevel"/>
    <w:tmpl w:val="06A68C00"/>
    <w:lvl w:ilvl="0" w:tplc="0C1A7FE6">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265AED"/>
    <w:multiLevelType w:val="hybridMultilevel"/>
    <w:tmpl w:val="E9424E6C"/>
    <w:lvl w:ilvl="0" w:tplc="603AE6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1E14"/>
    <w:multiLevelType w:val="hybridMultilevel"/>
    <w:tmpl w:val="1ACA048A"/>
    <w:lvl w:ilvl="0" w:tplc="0C1A7FE6">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98808FC"/>
    <w:multiLevelType w:val="hybridMultilevel"/>
    <w:tmpl w:val="D22A4AE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6259372C"/>
    <w:multiLevelType w:val="hybridMultilevel"/>
    <w:tmpl w:val="9648EAB4"/>
    <w:lvl w:ilvl="0" w:tplc="65222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6A76CEF"/>
    <w:multiLevelType w:val="hybridMultilevel"/>
    <w:tmpl w:val="A26C7D2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2"/>
  </w:num>
  <w:num w:numId="3">
    <w:abstractNumId w:val="28"/>
  </w:num>
  <w:num w:numId="4">
    <w:abstractNumId w:val="7"/>
  </w:num>
  <w:num w:numId="5">
    <w:abstractNumId w:val="21"/>
  </w:num>
  <w:num w:numId="6">
    <w:abstractNumId w:val="2"/>
  </w:num>
  <w:num w:numId="7">
    <w:abstractNumId w:val="10"/>
  </w:num>
  <w:num w:numId="8">
    <w:abstractNumId w:val="8"/>
  </w:num>
  <w:num w:numId="9">
    <w:abstractNumId w:val="23"/>
  </w:num>
  <w:num w:numId="10">
    <w:abstractNumId w:val="17"/>
  </w:num>
  <w:num w:numId="11">
    <w:abstractNumId w:val="30"/>
  </w:num>
  <w:num w:numId="12">
    <w:abstractNumId w:val="9"/>
  </w:num>
  <w:num w:numId="13">
    <w:abstractNumId w:val="18"/>
  </w:num>
  <w:num w:numId="14">
    <w:abstractNumId w:val="29"/>
  </w:num>
  <w:num w:numId="15">
    <w:abstractNumId w:val="20"/>
  </w:num>
  <w:num w:numId="16">
    <w:abstractNumId w:val="24"/>
  </w:num>
  <w:num w:numId="17">
    <w:abstractNumId w:val="16"/>
  </w:num>
  <w:num w:numId="18">
    <w:abstractNumId w:val="6"/>
  </w:num>
  <w:num w:numId="19">
    <w:abstractNumId w:val="31"/>
  </w:num>
  <w:num w:numId="20">
    <w:abstractNumId w:val="11"/>
  </w:num>
  <w:num w:numId="21">
    <w:abstractNumId w:val="5"/>
  </w:num>
  <w:num w:numId="22">
    <w:abstractNumId w:val="13"/>
  </w:num>
  <w:num w:numId="23">
    <w:abstractNumId w:val="14"/>
  </w:num>
  <w:num w:numId="24">
    <w:abstractNumId w:val="4"/>
  </w:num>
  <w:num w:numId="25">
    <w:abstractNumId w:val="3"/>
  </w:num>
  <w:num w:numId="26">
    <w:abstractNumId w:val="15"/>
  </w:num>
  <w:num w:numId="27">
    <w:abstractNumId w:val="27"/>
  </w:num>
  <w:num w:numId="28">
    <w:abstractNumId w:val="25"/>
  </w:num>
  <w:num w:numId="29">
    <w:abstractNumId w:val="1"/>
  </w:num>
  <w:num w:numId="30">
    <w:abstractNumId w:val="12"/>
  </w:num>
  <w:num w:numId="31">
    <w:abstractNumId w:val="19"/>
  </w:num>
  <w:num w:numId="3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1EF5"/>
    <w:rsid w:val="000333D9"/>
    <w:rsid w:val="00041985"/>
    <w:rsid w:val="00044AC4"/>
    <w:rsid w:val="00046227"/>
    <w:rsid w:val="0005130F"/>
    <w:rsid w:val="00051C53"/>
    <w:rsid w:val="0005391D"/>
    <w:rsid w:val="00055222"/>
    <w:rsid w:val="00055A79"/>
    <w:rsid w:val="0006459B"/>
    <w:rsid w:val="00065792"/>
    <w:rsid w:val="000773B2"/>
    <w:rsid w:val="00080CA6"/>
    <w:rsid w:val="00082A4E"/>
    <w:rsid w:val="0009500E"/>
    <w:rsid w:val="000A0DBF"/>
    <w:rsid w:val="000B01FF"/>
    <w:rsid w:val="000C3487"/>
    <w:rsid w:val="000C5A6F"/>
    <w:rsid w:val="000D2CE1"/>
    <w:rsid w:val="000D557E"/>
    <w:rsid w:val="000E04E0"/>
    <w:rsid w:val="000E0CFE"/>
    <w:rsid w:val="000E1816"/>
    <w:rsid w:val="000E1907"/>
    <w:rsid w:val="000F14B7"/>
    <w:rsid w:val="000F15CB"/>
    <w:rsid w:val="000F29A6"/>
    <w:rsid w:val="000F76BD"/>
    <w:rsid w:val="00103F9A"/>
    <w:rsid w:val="00106136"/>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05C7"/>
    <w:rsid w:val="002956D0"/>
    <w:rsid w:val="00296510"/>
    <w:rsid w:val="002973E8"/>
    <w:rsid w:val="002A3694"/>
    <w:rsid w:val="002A468A"/>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55DD"/>
    <w:rsid w:val="00310DE1"/>
    <w:rsid w:val="003130D1"/>
    <w:rsid w:val="00314530"/>
    <w:rsid w:val="00322191"/>
    <w:rsid w:val="00322E4F"/>
    <w:rsid w:val="003235D4"/>
    <w:rsid w:val="00323697"/>
    <w:rsid w:val="0032405A"/>
    <w:rsid w:val="00336D6E"/>
    <w:rsid w:val="0034464B"/>
    <w:rsid w:val="003450B0"/>
    <w:rsid w:val="00346C90"/>
    <w:rsid w:val="0034774F"/>
    <w:rsid w:val="003504F6"/>
    <w:rsid w:val="00350BE0"/>
    <w:rsid w:val="00350DCD"/>
    <w:rsid w:val="003510C2"/>
    <w:rsid w:val="00352FA3"/>
    <w:rsid w:val="003541C5"/>
    <w:rsid w:val="003554D8"/>
    <w:rsid w:val="0035727E"/>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42E1C"/>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6FD0"/>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4494"/>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16DC"/>
    <w:rsid w:val="006F2053"/>
    <w:rsid w:val="006F2271"/>
    <w:rsid w:val="006F4245"/>
    <w:rsid w:val="00703B2E"/>
    <w:rsid w:val="00704FB1"/>
    <w:rsid w:val="00710D02"/>
    <w:rsid w:val="007118B7"/>
    <w:rsid w:val="00713E4B"/>
    <w:rsid w:val="00717E17"/>
    <w:rsid w:val="00721731"/>
    <w:rsid w:val="0072523F"/>
    <w:rsid w:val="00727B18"/>
    <w:rsid w:val="0073009D"/>
    <w:rsid w:val="00732186"/>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0B31"/>
    <w:rsid w:val="007A22E6"/>
    <w:rsid w:val="007A5C12"/>
    <w:rsid w:val="007A6B70"/>
    <w:rsid w:val="007C2860"/>
    <w:rsid w:val="007C7CC7"/>
    <w:rsid w:val="007D3628"/>
    <w:rsid w:val="007D6C0A"/>
    <w:rsid w:val="007E165B"/>
    <w:rsid w:val="007E3447"/>
    <w:rsid w:val="007E3B8E"/>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71223"/>
    <w:rsid w:val="008821AF"/>
    <w:rsid w:val="00884F88"/>
    <w:rsid w:val="00895FE0"/>
    <w:rsid w:val="008A14FA"/>
    <w:rsid w:val="008A3260"/>
    <w:rsid w:val="008A52D5"/>
    <w:rsid w:val="008B2E50"/>
    <w:rsid w:val="008B4716"/>
    <w:rsid w:val="008B7B8C"/>
    <w:rsid w:val="008C0374"/>
    <w:rsid w:val="008C2F92"/>
    <w:rsid w:val="008C3E41"/>
    <w:rsid w:val="008E0CE8"/>
    <w:rsid w:val="008E13A6"/>
    <w:rsid w:val="008E1AAE"/>
    <w:rsid w:val="008F0979"/>
    <w:rsid w:val="008F5C5A"/>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376C1"/>
    <w:rsid w:val="00A40246"/>
    <w:rsid w:val="00A4192C"/>
    <w:rsid w:val="00A44B9A"/>
    <w:rsid w:val="00A46CC2"/>
    <w:rsid w:val="00A51004"/>
    <w:rsid w:val="00A5325F"/>
    <w:rsid w:val="00A55457"/>
    <w:rsid w:val="00A66D53"/>
    <w:rsid w:val="00A750D6"/>
    <w:rsid w:val="00A756F5"/>
    <w:rsid w:val="00A75AE8"/>
    <w:rsid w:val="00A87430"/>
    <w:rsid w:val="00A90242"/>
    <w:rsid w:val="00A90517"/>
    <w:rsid w:val="00A910A7"/>
    <w:rsid w:val="00A96DC3"/>
    <w:rsid w:val="00A96FD1"/>
    <w:rsid w:val="00AA4667"/>
    <w:rsid w:val="00AB2A22"/>
    <w:rsid w:val="00AB3558"/>
    <w:rsid w:val="00AB4E33"/>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1552"/>
    <w:rsid w:val="00C33C1E"/>
    <w:rsid w:val="00C456F7"/>
    <w:rsid w:val="00C50D10"/>
    <w:rsid w:val="00C520F5"/>
    <w:rsid w:val="00C6207A"/>
    <w:rsid w:val="00C62268"/>
    <w:rsid w:val="00C64770"/>
    <w:rsid w:val="00C67D3F"/>
    <w:rsid w:val="00C729C9"/>
    <w:rsid w:val="00C731ED"/>
    <w:rsid w:val="00C81DAE"/>
    <w:rsid w:val="00C85105"/>
    <w:rsid w:val="00C92817"/>
    <w:rsid w:val="00CA3593"/>
    <w:rsid w:val="00CB4DF1"/>
    <w:rsid w:val="00CB640B"/>
    <w:rsid w:val="00CC164A"/>
    <w:rsid w:val="00CE1573"/>
    <w:rsid w:val="00CE2914"/>
    <w:rsid w:val="00CE54D8"/>
    <w:rsid w:val="00CE7A26"/>
    <w:rsid w:val="00CF4661"/>
    <w:rsid w:val="00CF5BC7"/>
    <w:rsid w:val="00D02BE4"/>
    <w:rsid w:val="00D12E4F"/>
    <w:rsid w:val="00D17AFC"/>
    <w:rsid w:val="00D222DF"/>
    <w:rsid w:val="00D236B7"/>
    <w:rsid w:val="00D444E5"/>
    <w:rsid w:val="00D477D9"/>
    <w:rsid w:val="00D547D6"/>
    <w:rsid w:val="00D74AD1"/>
    <w:rsid w:val="00D74FD2"/>
    <w:rsid w:val="00D82AB0"/>
    <w:rsid w:val="00D91442"/>
    <w:rsid w:val="00D92CFD"/>
    <w:rsid w:val="00D92F30"/>
    <w:rsid w:val="00DA0998"/>
    <w:rsid w:val="00DA1E37"/>
    <w:rsid w:val="00DB1508"/>
    <w:rsid w:val="00DB21E7"/>
    <w:rsid w:val="00DC309C"/>
    <w:rsid w:val="00DD143A"/>
    <w:rsid w:val="00DD3A8F"/>
    <w:rsid w:val="00DD4D78"/>
    <w:rsid w:val="00DD54BB"/>
    <w:rsid w:val="00DD7881"/>
    <w:rsid w:val="00DE5D58"/>
    <w:rsid w:val="00DF32BB"/>
    <w:rsid w:val="00DF3C4B"/>
    <w:rsid w:val="00DF611C"/>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0DE7"/>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7AC7-142C-4AE7-871C-25509E4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2018-03-13T12:58:00Z</cp:lastPrinted>
  <dcterms:created xsi:type="dcterms:W3CDTF">2018-03-22T07:58:00Z</dcterms:created>
  <dcterms:modified xsi:type="dcterms:W3CDTF">2018-03-22T07:58:00Z</dcterms:modified>
</cp:coreProperties>
</file>