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EA2370">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332D3">
        <w:rPr>
          <w:rFonts w:ascii="Arial" w:hAnsi="Arial" w:cs="Arial"/>
          <w:b/>
          <w:bCs/>
        </w:rPr>
        <w:t>640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F5457">
        <w:rPr>
          <w:rFonts w:ascii="Arial" w:hAnsi="Arial" w:cs="Arial"/>
          <w:b/>
          <w:bCs/>
          <w:u w:val="single"/>
        </w:rPr>
        <w:t>17</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5457">
        <w:rPr>
          <w:rFonts w:ascii="Arial" w:hAnsi="Arial" w:cs="Arial"/>
          <w:b/>
          <w:bCs/>
          <w:u w:val="single"/>
        </w:rPr>
        <w:t>10</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3332D3" w:rsidRPr="003332D3" w:rsidRDefault="003332D3" w:rsidP="0025237D">
      <w:pPr>
        <w:spacing w:before="100" w:beforeAutospacing="1" w:after="120" w:line="360" w:lineRule="auto"/>
        <w:ind w:left="720" w:hanging="720"/>
        <w:jc w:val="both"/>
        <w:rPr>
          <w:rFonts w:ascii="Arial" w:hAnsi="Arial" w:cs="Arial"/>
          <w:b/>
          <w:lang w:val="en-ZA"/>
        </w:rPr>
      </w:pPr>
      <w:r w:rsidRPr="003332D3">
        <w:rPr>
          <w:rFonts w:ascii="Arial" w:hAnsi="Arial" w:cs="Arial"/>
          <w:b/>
          <w:lang w:val="en-ZA"/>
        </w:rPr>
        <w:t>Ms H Bucwa (DA) to ask the Minister of Higher Education and Training:</w:t>
      </w:r>
    </w:p>
    <w:p w:rsidR="00B27B17" w:rsidRPr="001517B0" w:rsidRDefault="003332D3" w:rsidP="0025237D">
      <w:pPr>
        <w:spacing w:before="100" w:beforeAutospacing="1" w:after="120" w:line="360" w:lineRule="auto"/>
        <w:jc w:val="both"/>
        <w:rPr>
          <w:rFonts w:ascii="Arial" w:hAnsi="Arial" w:cs="Arial"/>
          <w:lang w:val="en-ZA"/>
        </w:rPr>
      </w:pPr>
      <w:r w:rsidRPr="001517B0">
        <w:rPr>
          <w:rFonts w:ascii="Arial" w:hAnsi="Arial" w:cs="Arial"/>
          <w:lang w:val="en-ZA"/>
        </w:rPr>
        <w:t>(a) Whether any Sector Education and Training Authority (SETA) is currently under administration, (b) on what date was each specified SETA placed under administration and (c) what were the reasons in each case?</w:t>
      </w:r>
      <w:r w:rsidRPr="001517B0">
        <w:rPr>
          <w:rFonts w:ascii="Arial" w:hAnsi="Arial" w:cs="Arial"/>
          <w:lang w:val="en-ZA"/>
        </w:rPr>
        <w:tab/>
      </w:r>
      <w:r w:rsidRPr="001517B0">
        <w:rPr>
          <w:rFonts w:ascii="Arial" w:hAnsi="Arial" w:cs="Arial"/>
          <w:lang w:val="en-ZA"/>
        </w:rPr>
        <w:tab/>
      </w:r>
      <w:r w:rsidRPr="001517B0">
        <w:rPr>
          <w:rFonts w:ascii="Arial" w:hAnsi="Arial" w:cs="Arial"/>
          <w:lang w:val="en-ZA"/>
        </w:rPr>
        <w:tab/>
      </w:r>
      <w:r w:rsidRPr="001517B0">
        <w:rPr>
          <w:rFonts w:ascii="Arial" w:hAnsi="Arial" w:cs="Arial"/>
          <w:lang w:val="en-ZA"/>
        </w:rPr>
        <w:tab/>
      </w:r>
      <w:r w:rsidRPr="001517B0">
        <w:rPr>
          <w:rFonts w:ascii="Arial" w:hAnsi="Arial" w:cs="Arial"/>
          <w:lang w:val="en-ZA"/>
        </w:rPr>
        <w:tab/>
      </w:r>
    </w:p>
    <w:p w:rsidR="003332D3" w:rsidRPr="0025237D" w:rsidRDefault="003332D3" w:rsidP="0025237D">
      <w:pPr>
        <w:spacing w:before="100" w:beforeAutospacing="1" w:after="120" w:line="360" w:lineRule="auto"/>
        <w:ind w:left="7200" w:firstLine="720"/>
        <w:jc w:val="right"/>
        <w:rPr>
          <w:rFonts w:ascii="Arial" w:hAnsi="Arial" w:cs="Arial"/>
          <w:b/>
          <w:sz w:val="20"/>
          <w:lang w:val="en-ZA"/>
        </w:rPr>
      </w:pPr>
      <w:r w:rsidRPr="0025237D">
        <w:rPr>
          <w:rFonts w:ascii="Arial" w:hAnsi="Arial" w:cs="Arial"/>
          <w:b/>
          <w:sz w:val="20"/>
          <w:lang w:val="en-ZA"/>
        </w:rPr>
        <w:t>NW698E</w:t>
      </w:r>
    </w:p>
    <w:p w:rsidR="00922EDD" w:rsidRPr="001517B0" w:rsidRDefault="00922EDD" w:rsidP="0025237D">
      <w:pPr>
        <w:spacing w:before="100" w:beforeAutospacing="1" w:after="120" w:line="360" w:lineRule="auto"/>
        <w:ind w:left="7200" w:firstLine="720"/>
        <w:jc w:val="both"/>
        <w:rPr>
          <w:rFonts w:ascii="Arial" w:hAnsi="Arial" w:cs="Arial"/>
          <w:b/>
          <w:lang w:val="en-ZA"/>
        </w:rPr>
      </w:pPr>
    </w:p>
    <w:p w:rsidR="00D51BED" w:rsidRPr="001517B0" w:rsidRDefault="00D51BED" w:rsidP="0025237D">
      <w:pPr>
        <w:spacing w:before="100" w:beforeAutospacing="1" w:after="120" w:line="360" w:lineRule="auto"/>
        <w:ind w:left="7200" w:firstLine="720"/>
        <w:jc w:val="both"/>
        <w:rPr>
          <w:rFonts w:ascii="Arial" w:eastAsia="Times New Roman" w:hAnsi="Arial" w:cs="Arial"/>
          <w:b/>
          <w:lang w:val="en-US"/>
        </w:rPr>
      </w:pPr>
    </w:p>
    <w:p w:rsidR="00227702" w:rsidRPr="001517B0" w:rsidRDefault="00227702" w:rsidP="0025237D">
      <w:pPr>
        <w:spacing w:before="100" w:beforeAutospacing="1" w:after="120" w:line="360" w:lineRule="auto"/>
        <w:jc w:val="both"/>
        <w:outlineLvl w:val="0"/>
        <w:rPr>
          <w:rFonts w:ascii="Arial" w:hAnsi="Arial" w:cs="Arial"/>
          <w:b/>
          <w:lang w:val="en-ZA"/>
        </w:rPr>
      </w:pPr>
    </w:p>
    <w:p w:rsidR="00341771" w:rsidRPr="001517B0" w:rsidRDefault="00341771" w:rsidP="0025237D">
      <w:pPr>
        <w:spacing w:before="100" w:beforeAutospacing="1" w:after="120" w:line="360" w:lineRule="auto"/>
        <w:jc w:val="both"/>
        <w:outlineLvl w:val="0"/>
        <w:rPr>
          <w:rFonts w:ascii="Arial" w:hAnsi="Arial" w:cs="Arial"/>
          <w:b/>
        </w:rPr>
      </w:pPr>
    </w:p>
    <w:p w:rsidR="00754F3E" w:rsidRPr="001517B0" w:rsidRDefault="00754F3E" w:rsidP="0025237D">
      <w:pPr>
        <w:spacing w:before="100" w:beforeAutospacing="1" w:after="120" w:line="360" w:lineRule="auto"/>
        <w:jc w:val="both"/>
        <w:outlineLvl w:val="0"/>
        <w:rPr>
          <w:rFonts w:ascii="Arial" w:hAnsi="Arial" w:cs="Arial"/>
          <w:b/>
        </w:rPr>
      </w:pPr>
    </w:p>
    <w:p w:rsidR="00754F3E" w:rsidRPr="001517B0" w:rsidRDefault="00754F3E" w:rsidP="0025237D">
      <w:pPr>
        <w:spacing w:before="100" w:beforeAutospacing="1" w:after="120" w:line="360" w:lineRule="auto"/>
        <w:jc w:val="both"/>
        <w:outlineLvl w:val="0"/>
        <w:rPr>
          <w:rFonts w:ascii="Arial" w:hAnsi="Arial" w:cs="Arial"/>
          <w:b/>
        </w:rPr>
      </w:pPr>
    </w:p>
    <w:p w:rsidR="00EA2370" w:rsidRDefault="00EA2370" w:rsidP="00165B4F">
      <w:pPr>
        <w:spacing w:before="100" w:beforeAutospacing="1" w:after="120" w:line="360" w:lineRule="auto"/>
        <w:jc w:val="both"/>
        <w:outlineLvl w:val="0"/>
        <w:rPr>
          <w:rFonts w:ascii="Arial" w:hAnsi="Arial" w:cs="Arial"/>
          <w:b/>
        </w:rPr>
      </w:pPr>
    </w:p>
    <w:p w:rsidR="00EA2370" w:rsidRDefault="00EA2370" w:rsidP="00165B4F">
      <w:pPr>
        <w:spacing w:before="100" w:beforeAutospacing="1" w:after="120" w:line="360" w:lineRule="auto"/>
        <w:jc w:val="both"/>
        <w:outlineLvl w:val="0"/>
        <w:rPr>
          <w:rFonts w:ascii="Arial" w:hAnsi="Arial" w:cs="Arial"/>
          <w:b/>
        </w:rPr>
      </w:pPr>
    </w:p>
    <w:p w:rsidR="00EA2370" w:rsidRDefault="00EA2370" w:rsidP="00165B4F">
      <w:pPr>
        <w:spacing w:before="100" w:beforeAutospacing="1" w:after="120" w:line="360" w:lineRule="auto"/>
        <w:jc w:val="both"/>
        <w:outlineLvl w:val="0"/>
        <w:rPr>
          <w:rFonts w:ascii="Arial" w:hAnsi="Arial" w:cs="Arial"/>
          <w:b/>
        </w:rPr>
      </w:pPr>
    </w:p>
    <w:p w:rsidR="00EA2370" w:rsidRDefault="00EA2370" w:rsidP="00165B4F">
      <w:pPr>
        <w:spacing w:before="100" w:beforeAutospacing="1" w:after="120" w:line="360" w:lineRule="auto"/>
        <w:jc w:val="both"/>
        <w:outlineLvl w:val="0"/>
        <w:rPr>
          <w:rFonts w:ascii="Arial" w:hAnsi="Arial" w:cs="Arial"/>
          <w:b/>
        </w:rPr>
      </w:pPr>
    </w:p>
    <w:p w:rsidR="00E103E5" w:rsidRPr="00165B4F" w:rsidRDefault="00B12389" w:rsidP="00165B4F">
      <w:pPr>
        <w:spacing w:before="100" w:beforeAutospacing="1" w:after="120" w:line="360" w:lineRule="auto"/>
        <w:jc w:val="both"/>
        <w:outlineLvl w:val="0"/>
        <w:rPr>
          <w:rFonts w:ascii="Arial" w:hAnsi="Arial" w:cs="Arial"/>
          <w:b/>
        </w:rPr>
      </w:pPr>
      <w:r w:rsidRPr="001517B0">
        <w:rPr>
          <w:rFonts w:ascii="Arial" w:hAnsi="Arial" w:cs="Arial"/>
          <w:b/>
        </w:rPr>
        <w:lastRenderedPageBreak/>
        <w:t>R</w:t>
      </w:r>
      <w:r w:rsidR="00FC1A3C" w:rsidRPr="001517B0">
        <w:rPr>
          <w:rFonts w:ascii="Arial" w:hAnsi="Arial" w:cs="Arial"/>
          <w:b/>
        </w:rPr>
        <w:t>EPLY:</w:t>
      </w:r>
    </w:p>
    <w:p w:rsidR="004C4434" w:rsidRPr="001517B0" w:rsidRDefault="003377D8" w:rsidP="00165B4F">
      <w:pPr>
        <w:spacing w:line="360" w:lineRule="auto"/>
        <w:jc w:val="both"/>
        <w:rPr>
          <w:rFonts w:ascii="Arial" w:hAnsi="Arial" w:cs="Arial"/>
        </w:rPr>
      </w:pPr>
      <w:r>
        <w:rPr>
          <w:rFonts w:ascii="Arial" w:hAnsi="Arial" w:cs="Arial"/>
        </w:rPr>
        <w:t>T</w:t>
      </w:r>
      <w:r w:rsidR="0025237D">
        <w:rPr>
          <w:rFonts w:ascii="Arial" w:hAnsi="Arial" w:cs="Arial"/>
        </w:rPr>
        <w:t>h</w:t>
      </w:r>
      <w:r w:rsidR="0096516A" w:rsidRPr="001517B0">
        <w:rPr>
          <w:rFonts w:ascii="Arial" w:hAnsi="Arial" w:cs="Arial"/>
        </w:rPr>
        <w:t>ree</w:t>
      </w:r>
      <w:r w:rsidR="004C4434" w:rsidRPr="001517B0">
        <w:rPr>
          <w:rFonts w:ascii="Arial" w:hAnsi="Arial" w:cs="Arial"/>
        </w:rPr>
        <w:t xml:space="preserve"> </w:t>
      </w:r>
      <w:r w:rsidR="0025237D">
        <w:rPr>
          <w:rFonts w:ascii="Arial" w:hAnsi="Arial" w:cs="Arial"/>
        </w:rPr>
        <w:t>Sector Education and Training Authorities (</w:t>
      </w:r>
      <w:r w:rsidR="004C4434" w:rsidRPr="001517B0">
        <w:rPr>
          <w:rFonts w:ascii="Arial" w:hAnsi="Arial" w:cs="Arial"/>
        </w:rPr>
        <w:t>SETAs</w:t>
      </w:r>
      <w:r w:rsidR="0025237D">
        <w:rPr>
          <w:rFonts w:ascii="Arial" w:hAnsi="Arial" w:cs="Arial"/>
        </w:rPr>
        <w:t>)</w:t>
      </w:r>
      <w:r w:rsidR="004C4434" w:rsidRPr="001517B0">
        <w:rPr>
          <w:rFonts w:ascii="Arial" w:hAnsi="Arial" w:cs="Arial"/>
        </w:rPr>
        <w:t xml:space="preserve"> are currently under administration</w:t>
      </w:r>
      <w:r>
        <w:rPr>
          <w:rFonts w:ascii="Arial" w:hAnsi="Arial" w:cs="Arial"/>
        </w:rPr>
        <w:t xml:space="preserve"> as detailed in the table below.</w:t>
      </w:r>
    </w:p>
    <w:tbl>
      <w:tblPr>
        <w:tblW w:w="916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040"/>
        <w:gridCol w:w="4969"/>
      </w:tblGrid>
      <w:tr w:rsidR="003377D8" w:rsidRPr="00593577" w:rsidTr="00593577">
        <w:trPr>
          <w:jc w:val="center"/>
        </w:trPr>
        <w:tc>
          <w:tcPr>
            <w:tcW w:w="2160" w:type="dxa"/>
            <w:shd w:val="clear" w:color="auto" w:fill="auto"/>
          </w:tcPr>
          <w:p w:rsidR="003377D8" w:rsidRPr="00593577" w:rsidRDefault="003377D8" w:rsidP="00165B4F">
            <w:pPr>
              <w:spacing w:before="60" w:after="60" w:line="240" w:lineRule="auto"/>
              <w:rPr>
                <w:rFonts w:ascii="Arial" w:hAnsi="Arial" w:cs="Arial"/>
                <w:b/>
              </w:rPr>
            </w:pPr>
            <w:r w:rsidRPr="00593577">
              <w:rPr>
                <w:rFonts w:ascii="Arial" w:hAnsi="Arial" w:cs="Arial"/>
                <w:b/>
              </w:rPr>
              <w:t>(a) SETA</w:t>
            </w:r>
          </w:p>
        </w:tc>
        <w:tc>
          <w:tcPr>
            <w:tcW w:w="2040" w:type="dxa"/>
            <w:shd w:val="clear" w:color="auto" w:fill="auto"/>
          </w:tcPr>
          <w:p w:rsidR="003377D8" w:rsidRPr="00593577" w:rsidRDefault="003377D8" w:rsidP="00165B4F">
            <w:pPr>
              <w:spacing w:before="60" w:after="60" w:line="240" w:lineRule="auto"/>
              <w:rPr>
                <w:rFonts w:ascii="Arial" w:hAnsi="Arial" w:cs="Arial"/>
                <w:b/>
              </w:rPr>
            </w:pPr>
            <w:r w:rsidRPr="00593577">
              <w:rPr>
                <w:rFonts w:ascii="Arial" w:hAnsi="Arial" w:cs="Arial"/>
                <w:b/>
              </w:rPr>
              <w:t xml:space="preserve">(b) Date </w:t>
            </w:r>
          </w:p>
        </w:tc>
        <w:tc>
          <w:tcPr>
            <w:tcW w:w="4969" w:type="dxa"/>
            <w:shd w:val="clear" w:color="auto" w:fill="auto"/>
          </w:tcPr>
          <w:p w:rsidR="003377D8" w:rsidRPr="00593577" w:rsidRDefault="003377D8" w:rsidP="00165B4F">
            <w:pPr>
              <w:spacing w:before="60" w:after="60" w:line="240" w:lineRule="auto"/>
              <w:rPr>
                <w:rFonts w:ascii="Arial" w:hAnsi="Arial" w:cs="Arial"/>
                <w:b/>
              </w:rPr>
            </w:pPr>
            <w:r w:rsidRPr="00593577">
              <w:rPr>
                <w:rFonts w:ascii="Arial" w:hAnsi="Arial" w:cs="Arial"/>
                <w:b/>
              </w:rPr>
              <w:t>(c) Reasons</w:t>
            </w:r>
          </w:p>
        </w:tc>
      </w:tr>
      <w:tr w:rsidR="003377D8" w:rsidRPr="00593577" w:rsidTr="00593577">
        <w:trPr>
          <w:jc w:val="center"/>
        </w:trPr>
        <w:tc>
          <w:tcPr>
            <w:tcW w:w="2160" w:type="dxa"/>
            <w:shd w:val="clear" w:color="auto" w:fill="auto"/>
          </w:tcPr>
          <w:p w:rsidR="003377D8" w:rsidRPr="00593577" w:rsidRDefault="003377D8" w:rsidP="00165B4F">
            <w:pPr>
              <w:numPr>
                <w:ilvl w:val="0"/>
                <w:numId w:val="2"/>
              </w:numPr>
              <w:spacing w:before="60" w:after="60" w:line="240" w:lineRule="auto"/>
              <w:ind w:left="223" w:hanging="223"/>
              <w:rPr>
                <w:rFonts w:ascii="Arial" w:hAnsi="Arial" w:cs="Arial"/>
              </w:rPr>
            </w:pPr>
            <w:r w:rsidRPr="00593577">
              <w:rPr>
                <w:rFonts w:ascii="Arial" w:hAnsi="Arial" w:cs="Arial"/>
              </w:rPr>
              <w:t>Culture, Arts, Tourism, Hospitality and Sport Sector Education and Training Authority (CATHSSETA)</w:t>
            </w:r>
          </w:p>
        </w:tc>
        <w:tc>
          <w:tcPr>
            <w:tcW w:w="2040" w:type="dxa"/>
            <w:shd w:val="clear" w:color="auto" w:fill="auto"/>
          </w:tcPr>
          <w:p w:rsidR="003377D8" w:rsidRPr="00593577" w:rsidRDefault="003377D8" w:rsidP="00165B4F">
            <w:pPr>
              <w:spacing w:before="60" w:after="60" w:line="240" w:lineRule="auto"/>
              <w:rPr>
                <w:rFonts w:ascii="Arial" w:hAnsi="Arial" w:cs="Arial"/>
              </w:rPr>
            </w:pPr>
            <w:r w:rsidRPr="00593577">
              <w:rPr>
                <w:rFonts w:ascii="Arial" w:hAnsi="Arial" w:cs="Arial"/>
              </w:rPr>
              <w:t>15 October 2014</w:t>
            </w:r>
          </w:p>
        </w:tc>
        <w:tc>
          <w:tcPr>
            <w:tcW w:w="4969" w:type="dxa"/>
            <w:shd w:val="clear" w:color="auto" w:fill="auto"/>
          </w:tcPr>
          <w:p w:rsidR="003377D8" w:rsidRPr="00593577" w:rsidRDefault="003377D8" w:rsidP="00165B4F">
            <w:pPr>
              <w:pStyle w:val="NormalWeb"/>
              <w:numPr>
                <w:ilvl w:val="0"/>
                <w:numId w:val="1"/>
              </w:numPr>
              <w:spacing w:before="60" w:beforeAutospacing="0" w:after="60" w:afterAutospacing="0"/>
              <w:ind w:left="325" w:hanging="283"/>
              <w:rPr>
                <w:rFonts w:ascii="Arial" w:hAnsi="Arial" w:cs="Arial"/>
                <w:color w:val="000000"/>
                <w:sz w:val="22"/>
                <w:szCs w:val="22"/>
              </w:rPr>
            </w:pPr>
            <w:r w:rsidRPr="00593577">
              <w:rPr>
                <w:rFonts w:ascii="Arial" w:hAnsi="Arial" w:cs="Arial"/>
                <w:color w:val="000000"/>
                <w:sz w:val="22"/>
                <w:szCs w:val="22"/>
              </w:rPr>
              <w:t>Consistently not meeting its predetermined objectives.</w:t>
            </w:r>
          </w:p>
          <w:p w:rsidR="003377D8" w:rsidRPr="00593577" w:rsidRDefault="003377D8" w:rsidP="00165B4F">
            <w:pPr>
              <w:pStyle w:val="NormalWeb"/>
              <w:numPr>
                <w:ilvl w:val="0"/>
                <w:numId w:val="1"/>
              </w:numPr>
              <w:spacing w:before="60" w:beforeAutospacing="0" w:after="60" w:afterAutospacing="0"/>
              <w:ind w:left="325" w:hanging="283"/>
              <w:rPr>
                <w:rFonts w:ascii="Arial" w:hAnsi="Arial" w:cs="Arial"/>
                <w:color w:val="000000"/>
                <w:sz w:val="22"/>
                <w:szCs w:val="22"/>
              </w:rPr>
            </w:pPr>
            <w:r w:rsidRPr="00593577">
              <w:rPr>
                <w:rFonts w:ascii="Arial" w:hAnsi="Arial" w:cs="Arial"/>
                <w:color w:val="000000"/>
                <w:sz w:val="22"/>
                <w:szCs w:val="22"/>
              </w:rPr>
              <w:t xml:space="preserve">Serious allegations made against some board members and senior management. </w:t>
            </w:r>
          </w:p>
          <w:p w:rsidR="003377D8" w:rsidRPr="00593577" w:rsidRDefault="003377D8" w:rsidP="00165B4F">
            <w:pPr>
              <w:pStyle w:val="NormalWeb"/>
              <w:numPr>
                <w:ilvl w:val="0"/>
                <w:numId w:val="1"/>
              </w:numPr>
              <w:spacing w:before="60" w:beforeAutospacing="0" w:after="60" w:afterAutospacing="0"/>
              <w:ind w:left="325" w:hanging="283"/>
              <w:rPr>
                <w:rFonts w:ascii="Arial" w:hAnsi="Arial" w:cs="Arial"/>
                <w:color w:val="000000"/>
                <w:sz w:val="22"/>
                <w:szCs w:val="22"/>
              </w:rPr>
            </w:pPr>
            <w:r w:rsidRPr="00593577">
              <w:rPr>
                <w:rFonts w:ascii="Arial" w:hAnsi="Arial" w:cs="Arial"/>
                <w:color w:val="000000"/>
                <w:sz w:val="22"/>
                <w:szCs w:val="22"/>
              </w:rPr>
              <w:t xml:space="preserve">Failure to act on the recommendations of a forensic investigation commissioned by the board. </w:t>
            </w:r>
          </w:p>
          <w:p w:rsidR="003377D8" w:rsidRPr="00593577" w:rsidRDefault="003377D8" w:rsidP="00165B4F">
            <w:pPr>
              <w:pStyle w:val="NormalWeb"/>
              <w:numPr>
                <w:ilvl w:val="0"/>
                <w:numId w:val="1"/>
              </w:numPr>
              <w:spacing w:before="60" w:beforeAutospacing="0" w:after="60" w:afterAutospacing="0"/>
              <w:ind w:left="325" w:hanging="283"/>
              <w:rPr>
                <w:rFonts w:ascii="Arial" w:hAnsi="Arial" w:cs="Arial"/>
              </w:rPr>
            </w:pPr>
            <w:r w:rsidRPr="00593577">
              <w:rPr>
                <w:rFonts w:ascii="Arial" w:hAnsi="Arial" w:cs="Arial"/>
                <w:color w:val="000000"/>
                <w:sz w:val="22"/>
                <w:szCs w:val="22"/>
              </w:rPr>
              <w:t>Qualified audit opinion from the Auditor-General in the 2013/14 financial year.</w:t>
            </w:r>
          </w:p>
        </w:tc>
      </w:tr>
      <w:tr w:rsidR="003377D8" w:rsidRPr="00593577" w:rsidTr="00593577">
        <w:trPr>
          <w:jc w:val="center"/>
        </w:trPr>
        <w:tc>
          <w:tcPr>
            <w:tcW w:w="2160" w:type="dxa"/>
            <w:shd w:val="clear" w:color="auto" w:fill="auto"/>
          </w:tcPr>
          <w:p w:rsidR="003377D8" w:rsidRPr="00593577" w:rsidRDefault="003377D8" w:rsidP="00165B4F">
            <w:pPr>
              <w:numPr>
                <w:ilvl w:val="0"/>
                <w:numId w:val="2"/>
              </w:numPr>
              <w:spacing w:before="60" w:after="60" w:line="240" w:lineRule="auto"/>
              <w:ind w:left="223" w:hanging="223"/>
              <w:rPr>
                <w:rFonts w:ascii="Arial" w:hAnsi="Arial" w:cs="Arial"/>
              </w:rPr>
            </w:pPr>
            <w:r w:rsidRPr="00593577">
              <w:rPr>
                <w:rFonts w:ascii="Arial" w:hAnsi="Arial" w:cs="Arial"/>
              </w:rPr>
              <w:t>Wholesale and Retail Sector Education and Training Authority (W&amp;RSETA)</w:t>
            </w:r>
          </w:p>
        </w:tc>
        <w:tc>
          <w:tcPr>
            <w:tcW w:w="2040" w:type="dxa"/>
            <w:shd w:val="clear" w:color="auto" w:fill="auto"/>
          </w:tcPr>
          <w:p w:rsidR="003377D8" w:rsidRPr="00593577" w:rsidRDefault="003377D8" w:rsidP="00165B4F">
            <w:pPr>
              <w:spacing w:before="60" w:after="60" w:line="240" w:lineRule="auto"/>
              <w:rPr>
                <w:rFonts w:ascii="Arial" w:hAnsi="Arial" w:cs="Arial"/>
              </w:rPr>
            </w:pPr>
            <w:r w:rsidRPr="00593577">
              <w:rPr>
                <w:rFonts w:ascii="Arial" w:hAnsi="Arial" w:cs="Arial"/>
              </w:rPr>
              <w:t>3 October 2016</w:t>
            </w:r>
          </w:p>
        </w:tc>
        <w:tc>
          <w:tcPr>
            <w:tcW w:w="4969" w:type="dxa"/>
            <w:shd w:val="clear" w:color="auto" w:fill="auto"/>
          </w:tcPr>
          <w:p w:rsidR="003377D8" w:rsidRPr="00593577" w:rsidRDefault="003377D8" w:rsidP="00165B4F">
            <w:pPr>
              <w:pStyle w:val="NormalWeb"/>
              <w:numPr>
                <w:ilvl w:val="0"/>
                <w:numId w:val="1"/>
              </w:numPr>
              <w:spacing w:before="60" w:beforeAutospacing="0" w:after="60" w:afterAutospacing="0"/>
              <w:ind w:left="325" w:hanging="283"/>
              <w:rPr>
                <w:rFonts w:ascii="Arial" w:hAnsi="Arial" w:cs="Arial"/>
                <w:color w:val="000000"/>
                <w:sz w:val="22"/>
                <w:szCs w:val="22"/>
              </w:rPr>
            </w:pPr>
            <w:r w:rsidRPr="00593577">
              <w:rPr>
                <w:rFonts w:ascii="Arial" w:hAnsi="Arial" w:cs="Arial"/>
                <w:color w:val="000000"/>
                <w:sz w:val="22"/>
                <w:szCs w:val="22"/>
              </w:rPr>
              <w:t xml:space="preserve">The SETA’s decision to pull out of the initiative to support the Rural and Township Economies Revitalisation Programme </w:t>
            </w:r>
            <w:r w:rsidR="00593577" w:rsidRPr="00593577">
              <w:rPr>
                <w:rFonts w:ascii="Arial" w:hAnsi="Arial" w:cs="Arial"/>
                <w:color w:val="000000"/>
                <w:sz w:val="22"/>
                <w:szCs w:val="22"/>
              </w:rPr>
              <w:t xml:space="preserve">which was </w:t>
            </w:r>
            <w:r w:rsidRPr="00593577">
              <w:rPr>
                <w:rFonts w:ascii="Arial" w:hAnsi="Arial" w:cs="Arial"/>
                <w:color w:val="000000"/>
                <w:sz w:val="22"/>
                <w:szCs w:val="22"/>
              </w:rPr>
              <w:t>meant to contribute to government’s Nine-Point Plan to stimulate rural and township economies</w:t>
            </w:r>
            <w:r w:rsidR="00593577" w:rsidRPr="00593577">
              <w:rPr>
                <w:rFonts w:ascii="Arial" w:hAnsi="Arial" w:cs="Arial"/>
                <w:color w:val="000000"/>
                <w:sz w:val="22"/>
                <w:szCs w:val="22"/>
              </w:rPr>
              <w:t>,</w:t>
            </w:r>
            <w:r w:rsidRPr="00593577">
              <w:rPr>
                <w:rFonts w:ascii="Arial" w:hAnsi="Arial" w:cs="Arial"/>
                <w:color w:val="000000"/>
                <w:sz w:val="22"/>
                <w:szCs w:val="22"/>
              </w:rPr>
              <w:t xml:space="preserve"> although the programme was part of its service level agreement. </w:t>
            </w:r>
          </w:p>
          <w:p w:rsidR="003377D8" w:rsidRPr="00593577" w:rsidRDefault="003377D8" w:rsidP="00165B4F">
            <w:pPr>
              <w:pStyle w:val="NormalWeb"/>
              <w:numPr>
                <w:ilvl w:val="0"/>
                <w:numId w:val="1"/>
              </w:numPr>
              <w:spacing w:before="60" w:beforeAutospacing="0" w:after="60" w:afterAutospacing="0"/>
              <w:ind w:left="325" w:hanging="283"/>
              <w:rPr>
                <w:rFonts w:ascii="Arial" w:hAnsi="Arial" w:cs="Arial"/>
                <w:color w:val="000000"/>
                <w:sz w:val="22"/>
                <w:szCs w:val="22"/>
              </w:rPr>
            </w:pPr>
            <w:r w:rsidRPr="00593577">
              <w:rPr>
                <w:rFonts w:ascii="Arial" w:hAnsi="Arial" w:cs="Arial"/>
                <w:color w:val="000000"/>
                <w:sz w:val="22"/>
                <w:szCs w:val="22"/>
              </w:rPr>
              <w:t>Qualified audit opinion from the Auditor-General in the 2014/15 and 2015/16 financial years.</w:t>
            </w:r>
          </w:p>
          <w:p w:rsidR="003377D8" w:rsidRPr="00593577" w:rsidRDefault="003377D8" w:rsidP="00165B4F">
            <w:pPr>
              <w:pStyle w:val="NormalWeb"/>
              <w:numPr>
                <w:ilvl w:val="0"/>
                <w:numId w:val="1"/>
              </w:numPr>
              <w:spacing w:before="60" w:beforeAutospacing="0" w:after="60" w:afterAutospacing="0"/>
              <w:ind w:left="325" w:hanging="283"/>
              <w:rPr>
                <w:rFonts w:ascii="Arial" w:hAnsi="Arial" w:cs="Arial"/>
              </w:rPr>
            </w:pPr>
            <w:r w:rsidRPr="00593577">
              <w:rPr>
                <w:rFonts w:ascii="Arial" w:hAnsi="Arial" w:cs="Arial"/>
                <w:color w:val="000000"/>
                <w:sz w:val="22"/>
                <w:szCs w:val="22"/>
              </w:rPr>
              <w:t>Lack of unity, cohesion and cooperation required among the board members of the SETA to exercise their fiduciary duties effectively and efficiently.</w:t>
            </w:r>
          </w:p>
        </w:tc>
      </w:tr>
      <w:tr w:rsidR="003377D8" w:rsidRPr="00593577" w:rsidTr="00593577">
        <w:trPr>
          <w:jc w:val="center"/>
        </w:trPr>
        <w:tc>
          <w:tcPr>
            <w:tcW w:w="2160" w:type="dxa"/>
            <w:shd w:val="clear" w:color="auto" w:fill="auto"/>
          </w:tcPr>
          <w:p w:rsidR="003377D8" w:rsidRPr="00593577" w:rsidRDefault="003377D8" w:rsidP="00165B4F">
            <w:pPr>
              <w:numPr>
                <w:ilvl w:val="0"/>
                <w:numId w:val="2"/>
              </w:numPr>
              <w:spacing w:before="60" w:after="60" w:line="240" w:lineRule="auto"/>
              <w:ind w:left="223" w:hanging="223"/>
              <w:rPr>
                <w:rFonts w:ascii="Arial" w:hAnsi="Arial" w:cs="Arial"/>
              </w:rPr>
            </w:pPr>
            <w:r w:rsidRPr="00593577">
              <w:rPr>
                <w:rFonts w:ascii="Arial" w:hAnsi="Arial" w:cs="Arial"/>
              </w:rPr>
              <w:t>Safety and Security Services Sector Education and Training Authority (SASSETA)</w:t>
            </w:r>
          </w:p>
          <w:p w:rsidR="003377D8" w:rsidRPr="00593577" w:rsidRDefault="003377D8" w:rsidP="00165B4F">
            <w:pPr>
              <w:spacing w:before="60" w:after="60" w:line="240" w:lineRule="auto"/>
              <w:ind w:left="223" w:hanging="223"/>
              <w:rPr>
                <w:rFonts w:ascii="Arial" w:hAnsi="Arial" w:cs="Arial"/>
              </w:rPr>
            </w:pPr>
          </w:p>
        </w:tc>
        <w:tc>
          <w:tcPr>
            <w:tcW w:w="2040" w:type="dxa"/>
            <w:shd w:val="clear" w:color="auto" w:fill="auto"/>
          </w:tcPr>
          <w:p w:rsidR="003377D8" w:rsidRPr="00593577" w:rsidRDefault="003377D8" w:rsidP="00165B4F">
            <w:pPr>
              <w:spacing w:before="60" w:after="60" w:line="240" w:lineRule="auto"/>
              <w:rPr>
                <w:rFonts w:ascii="Arial" w:hAnsi="Arial" w:cs="Arial"/>
              </w:rPr>
            </w:pPr>
            <w:r w:rsidRPr="00593577">
              <w:rPr>
                <w:rFonts w:ascii="Arial" w:hAnsi="Arial" w:cs="Arial"/>
              </w:rPr>
              <w:t>12 February 2015</w:t>
            </w:r>
          </w:p>
        </w:tc>
        <w:tc>
          <w:tcPr>
            <w:tcW w:w="4969" w:type="dxa"/>
            <w:shd w:val="clear" w:color="auto" w:fill="auto"/>
          </w:tcPr>
          <w:p w:rsidR="003377D8" w:rsidRPr="00593577" w:rsidRDefault="003377D8" w:rsidP="00165B4F">
            <w:pPr>
              <w:numPr>
                <w:ilvl w:val="0"/>
                <w:numId w:val="1"/>
              </w:numPr>
              <w:spacing w:before="60" w:after="60" w:line="240" w:lineRule="auto"/>
              <w:ind w:left="325" w:hanging="283"/>
              <w:rPr>
                <w:rFonts w:ascii="Arial" w:hAnsi="Arial" w:cs="Arial"/>
              </w:rPr>
            </w:pPr>
            <w:r w:rsidRPr="00593577">
              <w:rPr>
                <w:rFonts w:ascii="Arial" w:hAnsi="Arial" w:cs="Arial"/>
              </w:rPr>
              <w:t>Poor governance</w:t>
            </w:r>
            <w:r w:rsidR="00165B4F">
              <w:rPr>
                <w:rFonts w:ascii="Arial" w:hAnsi="Arial" w:cs="Arial"/>
              </w:rPr>
              <w:t>,</w:t>
            </w:r>
            <w:r w:rsidRPr="00593577">
              <w:rPr>
                <w:rFonts w:ascii="Arial" w:hAnsi="Arial" w:cs="Arial"/>
              </w:rPr>
              <w:t xml:space="preserve"> which resulted in mismanagement of the Discretionary Fund and serious irregularities in </w:t>
            </w:r>
            <w:r w:rsidR="00165B4F">
              <w:rPr>
                <w:rFonts w:ascii="Arial" w:hAnsi="Arial" w:cs="Arial"/>
              </w:rPr>
              <w:t xml:space="preserve">a </w:t>
            </w:r>
            <w:r w:rsidRPr="00593577">
              <w:rPr>
                <w:rFonts w:ascii="Arial" w:hAnsi="Arial" w:cs="Arial"/>
              </w:rPr>
              <w:t>number of contracts entered into, as well as non-compliance with the Skills Development Ac</w:t>
            </w:r>
            <w:r w:rsidR="00165B4F">
              <w:rPr>
                <w:rFonts w:ascii="Arial" w:hAnsi="Arial" w:cs="Arial"/>
              </w:rPr>
              <w:t>t and its prescripts</w:t>
            </w:r>
            <w:r w:rsidRPr="00593577">
              <w:rPr>
                <w:rFonts w:ascii="Arial" w:hAnsi="Arial" w:cs="Arial"/>
              </w:rPr>
              <w:t>.</w:t>
            </w:r>
          </w:p>
          <w:p w:rsidR="003377D8" w:rsidRPr="00593577" w:rsidRDefault="003377D8" w:rsidP="00165B4F">
            <w:pPr>
              <w:numPr>
                <w:ilvl w:val="0"/>
                <w:numId w:val="1"/>
              </w:numPr>
              <w:spacing w:before="60" w:after="60" w:line="240" w:lineRule="auto"/>
              <w:ind w:left="325" w:hanging="283"/>
              <w:rPr>
                <w:rFonts w:ascii="Arial" w:hAnsi="Arial" w:cs="Arial"/>
              </w:rPr>
            </w:pPr>
            <w:r w:rsidRPr="00593577">
              <w:rPr>
                <w:rFonts w:ascii="Arial" w:hAnsi="Arial" w:cs="Arial"/>
              </w:rPr>
              <w:t>Non-compliance with the Publi</w:t>
            </w:r>
            <w:r w:rsidR="00165B4F">
              <w:rPr>
                <w:rFonts w:ascii="Arial" w:hAnsi="Arial" w:cs="Arial"/>
              </w:rPr>
              <w:t xml:space="preserve">c Finance Management Act </w:t>
            </w:r>
            <w:r w:rsidRPr="00593577">
              <w:rPr>
                <w:rFonts w:ascii="Arial" w:hAnsi="Arial" w:cs="Arial"/>
              </w:rPr>
              <w:t>and other related National Treasury requirements.</w:t>
            </w:r>
          </w:p>
          <w:p w:rsidR="003377D8" w:rsidRPr="00593577" w:rsidRDefault="003377D8" w:rsidP="00165B4F">
            <w:pPr>
              <w:numPr>
                <w:ilvl w:val="0"/>
                <w:numId w:val="1"/>
              </w:numPr>
              <w:spacing w:before="60" w:after="60" w:line="240" w:lineRule="auto"/>
              <w:ind w:left="325" w:hanging="283"/>
              <w:rPr>
                <w:rFonts w:ascii="Arial" w:hAnsi="Arial" w:cs="Arial"/>
              </w:rPr>
            </w:pPr>
            <w:r w:rsidRPr="00593577">
              <w:rPr>
                <w:rFonts w:ascii="Arial" w:hAnsi="Arial" w:cs="Arial"/>
              </w:rPr>
              <w:t>Consistently not meeting its predetermined objectives.</w:t>
            </w:r>
          </w:p>
          <w:p w:rsidR="003377D8" w:rsidRPr="00502FDB" w:rsidRDefault="003377D8" w:rsidP="00165B4F">
            <w:pPr>
              <w:pStyle w:val="NormalWeb"/>
              <w:numPr>
                <w:ilvl w:val="0"/>
                <w:numId w:val="1"/>
              </w:numPr>
              <w:spacing w:before="60" w:beforeAutospacing="0" w:after="60" w:afterAutospacing="0"/>
              <w:ind w:left="325" w:hanging="283"/>
              <w:rPr>
                <w:rFonts w:ascii="Arial" w:hAnsi="Arial" w:cs="Arial"/>
                <w:color w:val="000000"/>
              </w:rPr>
            </w:pPr>
            <w:r w:rsidRPr="00502FDB">
              <w:rPr>
                <w:rFonts w:ascii="Arial" w:hAnsi="Arial" w:cs="Arial"/>
                <w:color w:val="000000"/>
                <w:sz w:val="22"/>
                <w:szCs w:val="22"/>
              </w:rPr>
              <w:t>Qualified audit opinion from the Auditor-General in the 2011/12 and 2012/13 financial years.</w:t>
            </w:r>
          </w:p>
        </w:tc>
      </w:tr>
    </w:tbl>
    <w:p w:rsidR="002F1ECD" w:rsidRPr="001517B0" w:rsidRDefault="002F1ECD" w:rsidP="00165B4F">
      <w:pPr>
        <w:spacing w:line="360" w:lineRule="auto"/>
        <w:ind w:left="720"/>
        <w:jc w:val="both"/>
        <w:rPr>
          <w:rFonts w:ascii="Arial" w:hAnsi="Arial" w:cs="Arial"/>
        </w:rPr>
      </w:pPr>
    </w:p>
    <w:p w:rsidR="00593577" w:rsidRDefault="00593577" w:rsidP="0025237D">
      <w:pPr>
        <w:spacing w:after="120" w:line="360" w:lineRule="auto"/>
        <w:jc w:val="both"/>
        <w:rPr>
          <w:rFonts w:ascii="Arial" w:hAnsi="Arial" w:cs="Arial"/>
        </w:rPr>
      </w:pPr>
      <w:r>
        <w:rPr>
          <w:rFonts w:ascii="Arial" w:hAnsi="Arial" w:cs="Arial"/>
        </w:rPr>
        <w:br w:type="page"/>
      </w:r>
      <w:r w:rsidR="00CC27E4" w:rsidRPr="001517B0">
        <w:rPr>
          <w:rFonts w:ascii="Arial" w:hAnsi="Arial" w:cs="Arial"/>
        </w:rPr>
        <w:t>COMPILER/CONTACT PERSONS:</w:t>
      </w:r>
      <w:r w:rsidR="002F1ECD" w:rsidRPr="001517B0">
        <w:rPr>
          <w:rFonts w:ascii="Arial" w:hAnsi="Arial" w:cs="Arial"/>
        </w:rPr>
        <w:t xml:space="preserve"> </w:t>
      </w:r>
    </w:p>
    <w:p w:rsidR="00C3677B" w:rsidRPr="001517B0" w:rsidRDefault="00CC27E4" w:rsidP="0025237D">
      <w:pPr>
        <w:spacing w:after="120" w:line="360" w:lineRule="auto"/>
        <w:jc w:val="both"/>
        <w:rPr>
          <w:rFonts w:ascii="Arial" w:hAnsi="Arial" w:cs="Arial"/>
        </w:rPr>
      </w:pPr>
      <w:r w:rsidRPr="001517B0">
        <w:rPr>
          <w:rFonts w:ascii="Arial" w:hAnsi="Arial" w:cs="Arial"/>
        </w:rPr>
        <w:t>EXT:</w:t>
      </w:r>
      <w:r w:rsidR="002F1ECD" w:rsidRPr="001517B0">
        <w:rPr>
          <w:rFonts w:ascii="Arial" w:hAnsi="Arial" w:cs="Arial"/>
        </w:rPr>
        <w:t xml:space="preserve"> </w:t>
      </w:r>
    </w:p>
    <w:p w:rsidR="00C3677B" w:rsidRPr="001517B0" w:rsidRDefault="00C3677B" w:rsidP="0025237D">
      <w:pPr>
        <w:spacing w:after="120" w:line="360" w:lineRule="auto"/>
        <w:jc w:val="both"/>
        <w:rPr>
          <w:rFonts w:ascii="Arial" w:hAnsi="Arial" w:cs="Arial"/>
        </w:rPr>
      </w:pPr>
    </w:p>
    <w:p w:rsidR="00A0228E" w:rsidRPr="001517B0" w:rsidRDefault="00A0228E" w:rsidP="0025237D">
      <w:pPr>
        <w:spacing w:after="120" w:line="360" w:lineRule="auto"/>
        <w:jc w:val="both"/>
        <w:rPr>
          <w:rFonts w:ascii="Arial" w:hAnsi="Arial" w:cs="Arial"/>
        </w:rPr>
      </w:pPr>
    </w:p>
    <w:p w:rsidR="002F1ECD" w:rsidRPr="001517B0" w:rsidRDefault="002F1ECD" w:rsidP="0025237D">
      <w:pPr>
        <w:spacing w:after="120" w:line="360" w:lineRule="auto"/>
        <w:jc w:val="both"/>
        <w:rPr>
          <w:rFonts w:ascii="Arial" w:hAnsi="Arial" w:cs="Arial"/>
        </w:rPr>
      </w:pPr>
    </w:p>
    <w:p w:rsidR="00AF6BFB" w:rsidRPr="001517B0" w:rsidRDefault="00AF6BFB" w:rsidP="0025237D">
      <w:pPr>
        <w:spacing w:after="120" w:line="360" w:lineRule="auto"/>
        <w:jc w:val="both"/>
        <w:rPr>
          <w:rFonts w:ascii="Arial" w:hAnsi="Arial" w:cs="Arial"/>
        </w:rPr>
      </w:pPr>
    </w:p>
    <w:p w:rsidR="00C3677B" w:rsidRPr="001517B0" w:rsidRDefault="00C3677B" w:rsidP="0025237D">
      <w:pPr>
        <w:spacing w:after="120" w:line="360" w:lineRule="auto"/>
        <w:jc w:val="both"/>
        <w:rPr>
          <w:rFonts w:ascii="Arial" w:hAnsi="Arial" w:cs="Arial"/>
        </w:rPr>
      </w:pPr>
      <w:r w:rsidRPr="001517B0">
        <w:rPr>
          <w:rFonts w:ascii="Arial" w:hAnsi="Arial" w:cs="Arial"/>
        </w:rPr>
        <w:t>DIRECTOR –</w:t>
      </w:r>
      <w:r w:rsidR="00DE6F6F" w:rsidRPr="001517B0">
        <w:rPr>
          <w:rFonts w:ascii="Arial" w:hAnsi="Arial" w:cs="Arial"/>
        </w:rPr>
        <w:t xml:space="preserve"> </w:t>
      </w:r>
      <w:r w:rsidRPr="001517B0">
        <w:rPr>
          <w:rFonts w:ascii="Arial" w:hAnsi="Arial" w:cs="Arial"/>
        </w:rPr>
        <w:t>GENERAL</w:t>
      </w:r>
    </w:p>
    <w:p w:rsidR="00C3677B" w:rsidRPr="001517B0" w:rsidRDefault="00C3677B" w:rsidP="0025237D">
      <w:pPr>
        <w:spacing w:after="120" w:line="360" w:lineRule="auto"/>
        <w:jc w:val="both"/>
        <w:rPr>
          <w:rFonts w:ascii="Arial" w:hAnsi="Arial" w:cs="Arial"/>
        </w:rPr>
      </w:pPr>
      <w:r w:rsidRPr="001517B0">
        <w:rPr>
          <w:rFonts w:ascii="Arial" w:hAnsi="Arial" w:cs="Arial"/>
        </w:rPr>
        <w:t>STATUS:</w:t>
      </w:r>
    </w:p>
    <w:p w:rsidR="00C3677B" w:rsidRPr="001517B0" w:rsidRDefault="00C3677B" w:rsidP="0025237D">
      <w:pPr>
        <w:spacing w:after="120" w:line="360" w:lineRule="auto"/>
        <w:jc w:val="both"/>
        <w:rPr>
          <w:rFonts w:ascii="Arial" w:hAnsi="Arial" w:cs="Arial"/>
        </w:rPr>
      </w:pPr>
      <w:r w:rsidRPr="001517B0">
        <w:rPr>
          <w:rFonts w:ascii="Arial" w:hAnsi="Arial" w:cs="Arial"/>
        </w:rPr>
        <w:t>DATE:</w:t>
      </w:r>
    </w:p>
    <w:p w:rsidR="00245A6B" w:rsidRPr="001517B0" w:rsidRDefault="00245A6B" w:rsidP="0025237D">
      <w:pPr>
        <w:spacing w:after="120" w:line="360" w:lineRule="auto"/>
        <w:jc w:val="both"/>
        <w:rPr>
          <w:rFonts w:ascii="Arial" w:hAnsi="Arial" w:cs="Arial"/>
        </w:rPr>
      </w:pPr>
    </w:p>
    <w:p w:rsidR="00AF6BFB" w:rsidRPr="001517B0" w:rsidRDefault="00AF6BFB" w:rsidP="0025237D">
      <w:pPr>
        <w:spacing w:after="120" w:line="360" w:lineRule="auto"/>
        <w:jc w:val="both"/>
        <w:rPr>
          <w:rFonts w:ascii="Arial" w:hAnsi="Arial" w:cs="Arial"/>
        </w:rPr>
      </w:pPr>
    </w:p>
    <w:p w:rsidR="00AF6BFB" w:rsidRPr="001517B0" w:rsidRDefault="00AF6BFB" w:rsidP="0025237D">
      <w:pPr>
        <w:spacing w:after="120" w:line="360" w:lineRule="auto"/>
        <w:jc w:val="both"/>
        <w:rPr>
          <w:rFonts w:ascii="Arial" w:hAnsi="Arial" w:cs="Arial"/>
        </w:rPr>
      </w:pPr>
    </w:p>
    <w:p w:rsidR="002F1ECD" w:rsidRPr="001517B0" w:rsidRDefault="002F1ECD" w:rsidP="0025237D">
      <w:pPr>
        <w:spacing w:after="120" w:line="360" w:lineRule="auto"/>
        <w:jc w:val="both"/>
        <w:rPr>
          <w:rFonts w:ascii="Arial" w:hAnsi="Arial" w:cs="Arial"/>
        </w:rPr>
      </w:pPr>
    </w:p>
    <w:p w:rsidR="00C3677B" w:rsidRPr="001517B0" w:rsidRDefault="00C3677B" w:rsidP="0025237D">
      <w:pPr>
        <w:spacing w:after="120" w:line="360" w:lineRule="auto"/>
        <w:jc w:val="both"/>
        <w:rPr>
          <w:rFonts w:ascii="Arial" w:hAnsi="Arial" w:cs="Arial"/>
        </w:rPr>
      </w:pPr>
      <w:r w:rsidRPr="001517B0">
        <w:rPr>
          <w:rFonts w:ascii="Arial" w:hAnsi="Arial" w:cs="Arial"/>
        </w:rPr>
        <w:t xml:space="preserve">QUESTION </w:t>
      </w:r>
      <w:r w:rsidR="003332D3" w:rsidRPr="001517B0">
        <w:rPr>
          <w:rFonts w:ascii="Arial" w:hAnsi="Arial" w:cs="Arial"/>
        </w:rPr>
        <w:t>640</w:t>
      </w:r>
      <w:r w:rsidR="005C6ED1" w:rsidRPr="001517B0">
        <w:rPr>
          <w:rFonts w:ascii="Arial" w:hAnsi="Arial" w:cs="Arial"/>
        </w:rPr>
        <w:t xml:space="preserve"> </w:t>
      </w:r>
      <w:r w:rsidRPr="001517B0">
        <w:rPr>
          <w:rFonts w:ascii="Arial" w:hAnsi="Arial" w:cs="Arial"/>
        </w:rPr>
        <w:t xml:space="preserve">APPROVED/NOT APPROVED/AMENDED </w:t>
      </w:r>
    </w:p>
    <w:p w:rsidR="00C3677B" w:rsidRPr="001517B0" w:rsidRDefault="00C3677B" w:rsidP="0025237D">
      <w:pPr>
        <w:spacing w:after="120" w:line="360" w:lineRule="auto"/>
        <w:jc w:val="both"/>
        <w:rPr>
          <w:rFonts w:ascii="Arial" w:hAnsi="Arial" w:cs="Arial"/>
        </w:rPr>
      </w:pPr>
    </w:p>
    <w:p w:rsidR="00C3677B" w:rsidRDefault="00C3677B" w:rsidP="0025237D">
      <w:pPr>
        <w:spacing w:after="120" w:line="360" w:lineRule="auto"/>
        <w:jc w:val="both"/>
        <w:rPr>
          <w:rFonts w:ascii="Arial" w:hAnsi="Arial" w:cs="Arial"/>
        </w:rPr>
      </w:pPr>
    </w:p>
    <w:p w:rsidR="00593577" w:rsidRDefault="00593577" w:rsidP="0025237D">
      <w:pPr>
        <w:spacing w:after="120" w:line="360" w:lineRule="auto"/>
        <w:jc w:val="both"/>
        <w:rPr>
          <w:rFonts w:ascii="Arial" w:hAnsi="Arial" w:cs="Arial"/>
        </w:rPr>
      </w:pPr>
    </w:p>
    <w:p w:rsidR="00593577" w:rsidRPr="001517B0" w:rsidRDefault="00593577" w:rsidP="0025237D">
      <w:pPr>
        <w:spacing w:after="120" w:line="360" w:lineRule="auto"/>
        <w:jc w:val="both"/>
        <w:rPr>
          <w:rFonts w:ascii="Arial" w:hAnsi="Arial" w:cs="Arial"/>
        </w:rPr>
      </w:pPr>
    </w:p>
    <w:p w:rsidR="00C3677B" w:rsidRPr="001517B0" w:rsidRDefault="00C3677B" w:rsidP="0025237D">
      <w:pPr>
        <w:spacing w:after="120" w:line="360" w:lineRule="auto"/>
        <w:jc w:val="both"/>
        <w:rPr>
          <w:rFonts w:ascii="Arial" w:hAnsi="Arial" w:cs="Arial"/>
        </w:rPr>
      </w:pPr>
      <w:r w:rsidRPr="001517B0">
        <w:rPr>
          <w:rFonts w:ascii="Arial" w:hAnsi="Arial" w:cs="Arial"/>
        </w:rPr>
        <w:t>Dr B</w:t>
      </w:r>
      <w:r w:rsidR="001517B0" w:rsidRPr="001517B0">
        <w:rPr>
          <w:rFonts w:ascii="Arial" w:hAnsi="Arial" w:cs="Arial"/>
        </w:rPr>
        <w:t>E</w:t>
      </w:r>
      <w:r w:rsidRPr="001517B0">
        <w:rPr>
          <w:rFonts w:ascii="Arial" w:hAnsi="Arial" w:cs="Arial"/>
        </w:rPr>
        <w:t xml:space="preserve"> NZIMANDE, MP</w:t>
      </w:r>
    </w:p>
    <w:p w:rsidR="00C3677B" w:rsidRPr="001517B0" w:rsidRDefault="00C3677B" w:rsidP="0025237D">
      <w:pPr>
        <w:spacing w:after="120" w:line="360" w:lineRule="auto"/>
        <w:jc w:val="both"/>
        <w:rPr>
          <w:rFonts w:ascii="Arial" w:hAnsi="Arial" w:cs="Arial"/>
        </w:rPr>
      </w:pPr>
      <w:r w:rsidRPr="001517B0">
        <w:rPr>
          <w:rFonts w:ascii="Arial" w:hAnsi="Arial" w:cs="Arial"/>
        </w:rPr>
        <w:t>MINISTER OF HIGHER EDUCATION AND TRAINING</w:t>
      </w:r>
    </w:p>
    <w:p w:rsidR="00C3677B" w:rsidRPr="001517B0" w:rsidRDefault="00C3677B" w:rsidP="0025237D">
      <w:pPr>
        <w:spacing w:after="120" w:line="360" w:lineRule="auto"/>
        <w:jc w:val="both"/>
        <w:rPr>
          <w:rFonts w:ascii="Arial" w:hAnsi="Arial" w:cs="Arial"/>
        </w:rPr>
      </w:pPr>
      <w:r w:rsidRPr="001517B0">
        <w:rPr>
          <w:rFonts w:ascii="Arial" w:hAnsi="Arial" w:cs="Arial"/>
        </w:rPr>
        <w:t>STATUS:</w:t>
      </w:r>
    </w:p>
    <w:p w:rsidR="00C3677B" w:rsidRPr="001517B0" w:rsidRDefault="00C3677B" w:rsidP="0025237D">
      <w:pPr>
        <w:spacing w:after="120" w:line="360" w:lineRule="auto"/>
        <w:jc w:val="both"/>
        <w:rPr>
          <w:rFonts w:ascii="Arial" w:hAnsi="Arial" w:cs="Arial"/>
        </w:rPr>
      </w:pPr>
      <w:r w:rsidRPr="001517B0">
        <w:rPr>
          <w:rFonts w:ascii="Arial" w:hAnsi="Arial" w:cs="Arial"/>
        </w:rPr>
        <w:t>DATE:</w:t>
      </w:r>
    </w:p>
    <w:p w:rsidR="0025237D" w:rsidRPr="001517B0" w:rsidRDefault="0025237D">
      <w:pPr>
        <w:spacing w:after="120" w:line="360" w:lineRule="auto"/>
        <w:jc w:val="both"/>
        <w:rPr>
          <w:rFonts w:ascii="Arial" w:hAnsi="Arial" w:cs="Arial"/>
        </w:rPr>
      </w:pPr>
    </w:p>
    <w:sectPr w:rsidR="0025237D" w:rsidRPr="001517B0"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957FE"/>
    <w:multiLevelType w:val="hybridMultilevel"/>
    <w:tmpl w:val="D33E8A78"/>
    <w:lvl w:ilvl="0" w:tplc="1C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B5591A"/>
    <w:multiLevelType w:val="hybridMultilevel"/>
    <w:tmpl w:val="E25C77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2AB5"/>
    <w:rsid w:val="00036029"/>
    <w:rsid w:val="00041F99"/>
    <w:rsid w:val="0004639E"/>
    <w:rsid w:val="000579B9"/>
    <w:rsid w:val="00060888"/>
    <w:rsid w:val="00063A3A"/>
    <w:rsid w:val="00075314"/>
    <w:rsid w:val="00087811"/>
    <w:rsid w:val="00096A3C"/>
    <w:rsid w:val="000A02C9"/>
    <w:rsid w:val="000A0D33"/>
    <w:rsid w:val="000B7F3D"/>
    <w:rsid w:val="000E58BD"/>
    <w:rsid w:val="000F2117"/>
    <w:rsid w:val="000F7AC3"/>
    <w:rsid w:val="00102241"/>
    <w:rsid w:val="0010402E"/>
    <w:rsid w:val="0010795D"/>
    <w:rsid w:val="001124D5"/>
    <w:rsid w:val="00125282"/>
    <w:rsid w:val="001256E4"/>
    <w:rsid w:val="00135E62"/>
    <w:rsid w:val="0014191A"/>
    <w:rsid w:val="001447C9"/>
    <w:rsid w:val="00147BA4"/>
    <w:rsid w:val="001517B0"/>
    <w:rsid w:val="001527E6"/>
    <w:rsid w:val="0015436C"/>
    <w:rsid w:val="00165B4F"/>
    <w:rsid w:val="00176498"/>
    <w:rsid w:val="00185818"/>
    <w:rsid w:val="00191755"/>
    <w:rsid w:val="00194585"/>
    <w:rsid w:val="001A01DC"/>
    <w:rsid w:val="001A1252"/>
    <w:rsid w:val="001A277A"/>
    <w:rsid w:val="001C33B5"/>
    <w:rsid w:val="001C6A3B"/>
    <w:rsid w:val="001D7C6A"/>
    <w:rsid w:val="001E36DF"/>
    <w:rsid w:val="001F4B7D"/>
    <w:rsid w:val="001F7966"/>
    <w:rsid w:val="0020779F"/>
    <w:rsid w:val="00215455"/>
    <w:rsid w:val="00217678"/>
    <w:rsid w:val="0022116B"/>
    <w:rsid w:val="002264C4"/>
    <w:rsid w:val="00227702"/>
    <w:rsid w:val="00245A6B"/>
    <w:rsid w:val="002476A9"/>
    <w:rsid w:val="0025237D"/>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1ECD"/>
    <w:rsid w:val="002F4DC9"/>
    <w:rsid w:val="002F6B49"/>
    <w:rsid w:val="00300C93"/>
    <w:rsid w:val="00305BF7"/>
    <w:rsid w:val="00313A4B"/>
    <w:rsid w:val="00315B13"/>
    <w:rsid w:val="0032116C"/>
    <w:rsid w:val="003332D3"/>
    <w:rsid w:val="003377D8"/>
    <w:rsid w:val="00337949"/>
    <w:rsid w:val="00341771"/>
    <w:rsid w:val="00344509"/>
    <w:rsid w:val="00346812"/>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104C"/>
    <w:rsid w:val="003F735C"/>
    <w:rsid w:val="00410478"/>
    <w:rsid w:val="004114D3"/>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B7E13"/>
    <w:rsid w:val="004C4434"/>
    <w:rsid w:val="004C4F38"/>
    <w:rsid w:val="004D2BE1"/>
    <w:rsid w:val="004D74FD"/>
    <w:rsid w:val="004E0458"/>
    <w:rsid w:val="00502FDB"/>
    <w:rsid w:val="00504B93"/>
    <w:rsid w:val="00506E45"/>
    <w:rsid w:val="005127E5"/>
    <w:rsid w:val="005223B8"/>
    <w:rsid w:val="005237E8"/>
    <w:rsid w:val="005305C3"/>
    <w:rsid w:val="0053292C"/>
    <w:rsid w:val="00552E00"/>
    <w:rsid w:val="005577D9"/>
    <w:rsid w:val="00561493"/>
    <w:rsid w:val="00571740"/>
    <w:rsid w:val="00574DBC"/>
    <w:rsid w:val="00585D0E"/>
    <w:rsid w:val="00586840"/>
    <w:rsid w:val="00593577"/>
    <w:rsid w:val="005A2660"/>
    <w:rsid w:val="005A272D"/>
    <w:rsid w:val="005B07DB"/>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15BE9"/>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5B0"/>
    <w:rsid w:val="00730B8E"/>
    <w:rsid w:val="00736643"/>
    <w:rsid w:val="00740B88"/>
    <w:rsid w:val="0075414E"/>
    <w:rsid w:val="00754F3E"/>
    <w:rsid w:val="00763A07"/>
    <w:rsid w:val="00765683"/>
    <w:rsid w:val="00766ABE"/>
    <w:rsid w:val="00766ADD"/>
    <w:rsid w:val="00770DA0"/>
    <w:rsid w:val="007775FD"/>
    <w:rsid w:val="007810CD"/>
    <w:rsid w:val="007A29F4"/>
    <w:rsid w:val="007B4860"/>
    <w:rsid w:val="007B75BC"/>
    <w:rsid w:val="007C09F4"/>
    <w:rsid w:val="007C7109"/>
    <w:rsid w:val="007D7318"/>
    <w:rsid w:val="007E26C5"/>
    <w:rsid w:val="007E667A"/>
    <w:rsid w:val="007F142C"/>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3AC1"/>
    <w:rsid w:val="00933C19"/>
    <w:rsid w:val="0093534E"/>
    <w:rsid w:val="00947DCF"/>
    <w:rsid w:val="0095081D"/>
    <w:rsid w:val="00950A7C"/>
    <w:rsid w:val="009548B8"/>
    <w:rsid w:val="00962A23"/>
    <w:rsid w:val="00963DA4"/>
    <w:rsid w:val="009642B8"/>
    <w:rsid w:val="0096516A"/>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37EC"/>
    <w:rsid w:val="00A26107"/>
    <w:rsid w:val="00A353C3"/>
    <w:rsid w:val="00A37101"/>
    <w:rsid w:val="00A44ACB"/>
    <w:rsid w:val="00A51526"/>
    <w:rsid w:val="00A54620"/>
    <w:rsid w:val="00A55D7A"/>
    <w:rsid w:val="00A6736B"/>
    <w:rsid w:val="00A738A8"/>
    <w:rsid w:val="00A8120A"/>
    <w:rsid w:val="00A9633F"/>
    <w:rsid w:val="00AA246C"/>
    <w:rsid w:val="00AA3944"/>
    <w:rsid w:val="00AB01C3"/>
    <w:rsid w:val="00AB0621"/>
    <w:rsid w:val="00AC5B0F"/>
    <w:rsid w:val="00AE0682"/>
    <w:rsid w:val="00AE3241"/>
    <w:rsid w:val="00AE42CB"/>
    <w:rsid w:val="00AE7CF5"/>
    <w:rsid w:val="00AF2779"/>
    <w:rsid w:val="00AF6BFB"/>
    <w:rsid w:val="00AF776A"/>
    <w:rsid w:val="00B06FCC"/>
    <w:rsid w:val="00B122E9"/>
    <w:rsid w:val="00B12389"/>
    <w:rsid w:val="00B13598"/>
    <w:rsid w:val="00B152D3"/>
    <w:rsid w:val="00B16C29"/>
    <w:rsid w:val="00B27B17"/>
    <w:rsid w:val="00B32FD8"/>
    <w:rsid w:val="00B4178D"/>
    <w:rsid w:val="00B42D63"/>
    <w:rsid w:val="00B43DD3"/>
    <w:rsid w:val="00B659EA"/>
    <w:rsid w:val="00B757E2"/>
    <w:rsid w:val="00B8067B"/>
    <w:rsid w:val="00B8505E"/>
    <w:rsid w:val="00B9731E"/>
    <w:rsid w:val="00BC272D"/>
    <w:rsid w:val="00BC6170"/>
    <w:rsid w:val="00BD032F"/>
    <w:rsid w:val="00BD057C"/>
    <w:rsid w:val="00BE1AAF"/>
    <w:rsid w:val="00BE2524"/>
    <w:rsid w:val="00C07223"/>
    <w:rsid w:val="00C31C40"/>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244D"/>
    <w:rsid w:val="00CD33FE"/>
    <w:rsid w:val="00CE4626"/>
    <w:rsid w:val="00CE5D13"/>
    <w:rsid w:val="00CF0B4E"/>
    <w:rsid w:val="00CF6566"/>
    <w:rsid w:val="00D00C74"/>
    <w:rsid w:val="00D038BF"/>
    <w:rsid w:val="00D066CD"/>
    <w:rsid w:val="00D104BB"/>
    <w:rsid w:val="00D114C4"/>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847"/>
    <w:rsid w:val="00E9261A"/>
    <w:rsid w:val="00EA2370"/>
    <w:rsid w:val="00EA2661"/>
    <w:rsid w:val="00EA2B3A"/>
    <w:rsid w:val="00EB1F29"/>
    <w:rsid w:val="00EC0BF2"/>
    <w:rsid w:val="00EC6E65"/>
    <w:rsid w:val="00ED51A1"/>
    <w:rsid w:val="00ED5C53"/>
    <w:rsid w:val="00ED5CDB"/>
    <w:rsid w:val="00EE020F"/>
    <w:rsid w:val="00EE0B7C"/>
    <w:rsid w:val="00EE1A72"/>
    <w:rsid w:val="00EE60BC"/>
    <w:rsid w:val="00EE711F"/>
    <w:rsid w:val="00EF63E0"/>
    <w:rsid w:val="00EF642C"/>
    <w:rsid w:val="00F02A9D"/>
    <w:rsid w:val="00F04C73"/>
    <w:rsid w:val="00F077DE"/>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33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0723">
      <w:bodyDiv w:val="1"/>
      <w:marLeft w:val="0"/>
      <w:marRight w:val="0"/>
      <w:marTop w:val="0"/>
      <w:marBottom w:val="0"/>
      <w:divBdr>
        <w:top w:val="none" w:sz="0" w:space="0" w:color="auto"/>
        <w:left w:val="none" w:sz="0" w:space="0" w:color="auto"/>
        <w:bottom w:val="none" w:sz="0" w:space="0" w:color="auto"/>
        <w:right w:val="none" w:sz="0" w:space="0" w:color="auto"/>
      </w:divBdr>
    </w:div>
    <w:div w:id="57631805">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A4BF-DBBC-42DB-8FB3-C6F929C0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2017-04-10T14:02:00Z</dcterms:created>
  <dcterms:modified xsi:type="dcterms:W3CDTF">2017-04-10T14:02:00Z</dcterms:modified>
</cp:coreProperties>
</file>