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4F8D9" w14:textId="77777777" w:rsidR="006F2271" w:rsidRDefault="006F2271" w:rsidP="00D67B3E">
      <w:pPr>
        <w:rPr>
          <w:b/>
          <w:bCs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3DE8A563" wp14:editId="211D998A">
            <wp:simplePos x="0" y="0"/>
            <wp:positionH relativeFrom="column">
              <wp:posOffset>2785110</wp:posOffset>
            </wp:positionH>
            <wp:positionV relativeFrom="paragraph">
              <wp:posOffset>-344170</wp:posOffset>
            </wp:positionV>
            <wp:extent cx="499745" cy="621665"/>
            <wp:effectExtent l="0" t="0" r="0" b="6985"/>
            <wp:wrapTopAndBottom/>
            <wp:docPr id="5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14:paraId="1CCB63CB" w14:textId="77777777" w:rsidR="006F2271" w:rsidRDefault="006F2271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14:paraId="41C016BF" w14:textId="77777777" w:rsidR="006F2271" w:rsidRDefault="006F2271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14:paraId="0135797A" w14:textId="77777777" w:rsidR="006F2271" w:rsidRDefault="006F2271" w:rsidP="006F2271">
      <w:pPr>
        <w:jc w:val="center"/>
        <w:rPr>
          <w:rFonts w:ascii="Trebuchet MS" w:hAnsi="Trebuchet MS"/>
          <w:sz w:val="20"/>
        </w:rPr>
      </w:pPr>
    </w:p>
    <w:p w14:paraId="7B81F9DC" w14:textId="77777777"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 w:rsidR="000F29A6"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 w:rsidR="000F29A6"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 w:rsidR="000F29A6"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</w:t>
      </w:r>
      <w:r w:rsidR="007B0910">
        <w:rPr>
          <w:rFonts w:ascii="Trebuchet MS" w:hAnsi="Trebuchet MS"/>
          <w:sz w:val="18"/>
          <w:szCs w:val="18"/>
        </w:rPr>
        <w:t>06 7658</w:t>
      </w:r>
    </w:p>
    <w:p w14:paraId="445B6422" w14:textId="77777777" w:rsidR="004B3CA8" w:rsidRPr="005A2F75" w:rsidRDefault="006F2271" w:rsidP="002A2B92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14:paraId="011D516F" w14:textId="77777777" w:rsidR="006F2271" w:rsidRPr="009D5245" w:rsidRDefault="006F2271" w:rsidP="006F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14:paraId="5CC9C413" w14:textId="77777777" w:rsidR="002A2B92" w:rsidRPr="00A80DAE" w:rsidRDefault="00ED4735" w:rsidP="002A2B92">
      <w:pPr>
        <w:spacing w:line="360" w:lineRule="auto"/>
        <w:rPr>
          <w:rFonts w:ascii="Arial Narrow" w:hAnsi="Arial Narrow" w:cs="Tunga"/>
          <w:b/>
          <w:lang w:val="fr-FR"/>
        </w:rPr>
      </w:pPr>
      <w:r w:rsidRPr="00A80DAE">
        <w:rPr>
          <w:rFonts w:ascii="Arial Narrow" w:hAnsi="Arial Narrow" w:cs="Tunga"/>
          <w:b/>
          <w:lang w:val="fr-FR"/>
        </w:rPr>
        <w:t>Nat</w:t>
      </w:r>
      <w:r w:rsidR="00B354F3" w:rsidRPr="00A80DAE">
        <w:rPr>
          <w:rFonts w:ascii="Arial Narrow" w:hAnsi="Arial Narrow" w:cs="Tunga"/>
          <w:b/>
          <w:lang w:val="fr-FR"/>
        </w:rPr>
        <w:t xml:space="preserve">ional </w:t>
      </w:r>
      <w:proofErr w:type="spellStart"/>
      <w:r w:rsidR="004851F7" w:rsidRPr="00A80DAE">
        <w:rPr>
          <w:rFonts w:ascii="Arial Narrow" w:hAnsi="Arial Narrow" w:cs="Tunga"/>
          <w:b/>
          <w:lang w:val="fr-FR"/>
        </w:rPr>
        <w:t>Assembly</w:t>
      </w:r>
      <w:proofErr w:type="spellEnd"/>
      <w:r w:rsidR="004851F7" w:rsidRPr="00A80DAE">
        <w:rPr>
          <w:rFonts w:ascii="Arial Narrow" w:hAnsi="Arial Narrow" w:cs="Tunga"/>
          <w:b/>
          <w:lang w:val="fr-FR"/>
        </w:rPr>
        <w:t xml:space="preserve"> </w:t>
      </w:r>
      <w:r w:rsidR="002574AB" w:rsidRPr="00A80DAE">
        <w:rPr>
          <w:rFonts w:ascii="Arial Narrow" w:hAnsi="Arial Narrow" w:cs="Tunga"/>
          <w:b/>
          <w:lang w:val="fr-FR"/>
        </w:rPr>
        <w:t xml:space="preserve">: </w:t>
      </w:r>
      <w:r w:rsidR="00246A8C" w:rsidRPr="00A80DAE">
        <w:rPr>
          <w:rFonts w:ascii="Arial Narrow" w:hAnsi="Arial Narrow" w:cs="Tunga"/>
          <w:b/>
          <w:lang w:val="fr-FR"/>
        </w:rPr>
        <w:t>629</w:t>
      </w:r>
    </w:p>
    <w:p w14:paraId="792326E1" w14:textId="5240E9F6" w:rsidR="00246A8C" w:rsidRDefault="00246A8C" w:rsidP="00246A8C">
      <w:pPr>
        <w:spacing w:after="0" w:line="240" w:lineRule="auto"/>
        <w:rPr>
          <w:rFonts w:ascii="Arial Narrow" w:hAnsi="Arial Narrow" w:cs="Tunga"/>
          <w:b/>
          <w:szCs w:val="24"/>
          <w:lang w:val="en-ZA"/>
        </w:rPr>
      </w:pPr>
      <w:r w:rsidRPr="00246A8C">
        <w:rPr>
          <w:rFonts w:ascii="Arial Narrow" w:hAnsi="Arial Narrow" w:cs="Tunga"/>
          <w:b/>
          <w:szCs w:val="24"/>
          <w:lang w:val="en-ZA"/>
        </w:rPr>
        <w:t xml:space="preserve">Mr M </w:t>
      </w:r>
      <w:proofErr w:type="spellStart"/>
      <w:r w:rsidRPr="00246A8C">
        <w:rPr>
          <w:rFonts w:ascii="Arial Narrow" w:hAnsi="Arial Narrow" w:cs="Tunga"/>
          <w:b/>
          <w:szCs w:val="24"/>
          <w:lang w:val="en-ZA"/>
        </w:rPr>
        <w:t>M</w:t>
      </w:r>
      <w:proofErr w:type="spellEnd"/>
      <w:r w:rsidRPr="00246A8C">
        <w:rPr>
          <w:rFonts w:ascii="Arial Narrow" w:hAnsi="Arial Narrow" w:cs="Tunga"/>
          <w:b/>
          <w:szCs w:val="24"/>
          <w:lang w:val="en-ZA"/>
        </w:rPr>
        <w:t xml:space="preserve"> Dlamini (EFF) to ask the Minister of Energy:</w:t>
      </w:r>
    </w:p>
    <w:p w14:paraId="549770A9" w14:textId="77777777" w:rsidR="00246A8C" w:rsidRPr="00246A8C" w:rsidRDefault="00246A8C" w:rsidP="00246A8C">
      <w:pPr>
        <w:spacing w:after="0" w:line="240" w:lineRule="auto"/>
        <w:rPr>
          <w:rFonts w:ascii="Arial Narrow" w:hAnsi="Arial Narrow" w:cs="Tunga"/>
          <w:b/>
          <w:szCs w:val="24"/>
          <w:lang w:val="en-ZA"/>
        </w:rPr>
      </w:pPr>
    </w:p>
    <w:p w14:paraId="0EE93D3E" w14:textId="77777777" w:rsidR="00A80DAE" w:rsidRDefault="00246A8C" w:rsidP="00A80DAE">
      <w:pPr>
        <w:spacing w:after="0" w:line="360" w:lineRule="auto"/>
        <w:rPr>
          <w:rFonts w:ascii="Arial Narrow" w:hAnsi="Arial Narrow" w:cs="Tunga"/>
          <w:szCs w:val="24"/>
          <w:lang w:val="en-ZA"/>
        </w:rPr>
      </w:pPr>
      <w:r w:rsidRPr="00246A8C">
        <w:rPr>
          <w:rFonts w:ascii="Arial Narrow" w:hAnsi="Arial Narrow" w:cs="Tunga"/>
          <w:szCs w:val="24"/>
          <w:lang w:val="en-ZA"/>
        </w:rPr>
        <w:t xml:space="preserve">Who are the 10 </w:t>
      </w:r>
      <w:proofErr w:type="gramStart"/>
      <w:r w:rsidRPr="00246A8C">
        <w:rPr>
          <w:rFonts w:ascii="Arial Narrow" w:hAnsi="Arial Narrow" w:cs="Tunga"/>
          <w:szCs w:val="24"/>
          <w:lang w:val="en-ZA"/>
        </w:rPr>
        <w:t>highest</w:t>
      </w:r>
      <w:r w:rsidR="00A80DAE">
        <w:rPr>
          <w:rFonts w:ascii="Arial Narrow" w:hAnsi="Arial Narrow" w:cs="Tunga"/>
          <w:szCs w:val="24"/>
          <w:lang w:val="en-ZA"/>
        </w:rPr>
        <w:t>:</w:t>
      </w:r>
      <w:proofErr w:type="gramEnd"/>
    </w:p>
    <w:p w14:paraId="4367A5C8" w14:textId="5FC11FAE" w:rsidR="00A80DAE" w:rsidRDefault="00246A8C" w:rsidP="00A80DAE">
      <w:pPr>
        <w:pStyle w:val="ListParagraph"/>
        <w:numPr>
          <w:ilvl w:val="0"/>
          <w:numId w:val="3"/>
        </w:numPr>
        <w:spacing w:after="0" w:line="360" w:lineRule="auto"/>
        <w:rPr>
          <w:rFonts w:ascii="Arial Narrow" w:hAnsi="Arial Narrow" w:cs="Tunga"/>
          <w:szCs w:val="24"/>
          <w:lang w:val="en-ZA"/>
        </w:rPr>
      </w:pPr>
      <w:r w:rsidRPr="00A80DAE">
        <w:rPr>
          <w:rFonts w:ascii="Arial Narrow" w:hAnsi="Arial Narrow" w:cs="Tunga"/>
          <w:szCs w:val="24"/>
          <w:lang w:val="en-ZA"/>
        </w:rPr>
        <w:t>single shareholders</w:t>
      </w:r>
      <w:r w:rsidR="00A80DAE">
        <w:rPr>
          <w:rFonts w:ascii="Arial Narrow" w:hAnsi="Arial Narrow" w:cs="Tunga"/>
          <w:szCs w:val="24"/>
          <w:lang w:val="en-ZA"/>
        </w:rPr>
        <w:t>;</w:t>
      </w:r>
      <w:r w:rsidRPr="00A80DAE">
        <w:rPr>
          <w:rFonts w:ascii="Arial Narrow" w:hAnsi="Arial Narrow" w:cs="Tunga"/>
          <w:szCs w:val="24"/>
          <w:lang w:val="en-ZA"/>
        </w:rPr>
        <w:t xml:space="preserve"> and </w:t>
      </w:r>
    </w:p>
    <w:p w14:paraId="50C9E507" w14:textId="7A4FBAE0" w:rsidR="00596B63" w:rsidRPr="00A80DAE" w:rsidRDefault="00246A8C" w:rsidP="00A80DAE">
      <w:pPr>
        <w:pStyle w:val="ListParagraph"/>
        <w:numPr>
          <w:ilvl w:val="0"/>
          <w:numId w:val="3"/>
        </w:numPr>
        <w:spacing w:after="0" w:line="360" w:lineRule="auto"/>
        <w:rPr>
          <w:rFonts w:ascii="Arial Narrow" w:hAnsi="Arial Narrow" w:cs="Tunga"/>
          <w:szCs w:val="24"/>
          <w:lang w:val="en-ZA"/>
        </w:rPr>
      </w:pPr>
      <w:proofErr w:type="gramStart"/>
      <w:r w:rsidRPr="00A80DAE">
        <w:rPr>
          <w:rFonts w:ascii="Arial Narrow" w:hAnsi="Arial Narrow" w:cs="Tunga"/>
          <w:szCs w:val="24"/>
          <w:lang w:val="en-ZA"/>
        </w:rPr>
        <w:t>debt</w:t>
      </w:r>
      <w:proofErr w:type="gramEnd"/>
      <w:r w:rsidRPr="00A80DAE">
        <w:rPr>
          <w:rFonts w:ascii="Arial Narrow" w:hAnsi="Arial Narrow" w:cs="Tunga"/>
          <w:szCs w:val="24"/>
          <w:lang w:val="en-ZA"/>
        </w:rPr>
        <w:t xml:space="preserve"> providers in terms of (</w:t>
      </w:r>
      <w:proofErr w:type="spellStart"/>
      <w:r w:rsidRPr="00A80DAE">
        <w:rPr>
          <w:rFonts w:ascii="Arial Narrow" w:hAnsi="Arial Narrow" w:cs="Tunga"/>
          <w:szCs w:val="24"/>
          <w:lang w:val="en-ZA"/>
        </w:rPr>
        <w:t>i</w:t>
      </w:r>
      <w:proofErr w:type="spellEnd"/>
      <w:r w:rsidRPr="00A80DAE">
        <w:rPr>
          <w:rFonts w:ascii="Arial Narrow" w:hAnsi="Arial Narrow" w:cs="Tunga"/>
          <w:szCs w:val="24"/>
          <w:lang w:val="en-ZA"/>
        </w:rPr>
        <w:t>) percentage and (ii) Rand value for each of the Independent Powe</w:t>
      </w:r>
      <w:r w:rsidR="00A80DAE" w:rsidRPr="00A80DAE">
        <w:rPr>
          <w:rFonts w:ascii="Arial Narrow" w:hAnsi="Arial Narrow" w:cs="Tunga"/>
          <w:szCs w:val="24"/>
          <w:lang w:val="en-ZA"/>
        </w:rPr>
        <w:t xml:space="preserve">r Producer Bid Windows? </w:t>
      </w:r>
      <w:r w:rsidRPr="00A80DAE">
        <w:rPr>
          <w:rFonts w:ascii="Arial Narrow" w:hAnsi="Arial Narrow" w:cs="Tunga"/>
          <w:szCs w:val="24"/>
          <w:lang w:val="en-ZA"/>
        </w:rPr>
        <w:t>NW753E</w:t>
      </w:r>
    </w:p>
    <w:p w14:paraId="4BF50DDE" w14:textId="77777777" w:rsidR="00A80DAE" w:rsidRDefault="00A80DAE" w:rsidP="00A80DAE">
      <w:pPr>
        <w:spacing w:after="0" w:line="240" w:lineRule="auto"/>
        <w:rPr>
          <w:rFonts w:ascii="Arial Narrow" w:hAnsi="Arial Narrow" w:cs="Tunga"/>
          <w:szCs w:val="24"/>
          <w:lang w:val="en-ZA"/>
        </w:rPr>
      </w:pPr>
    </w:p>
    <w:p w14:paraId="1321D6E4" w14:textId="77777777" w:rsidR="00A80DAE" w:rsidRDefault="00A80DAE" w:rsidP="00A80DAE">
      <w:pPr>
        <w:spacing w:after="0" w:line="240" w:lineRule="auto"/>
        <w:rPr>
          <w:rFonts w:ascii="Arial Narrow" w:hAnsi="Arial Narrow" w:cs="Tunga"/>
          <w:szCs w:val="24"/>
          <w:lang w:val="en-ZA"/>
        </w:rPr>
      </w:pPr>
    </w:p>
    <w:p w14:paraId="6C640B04" w14:textId="143DA91F" w:rsidR="005140FC" w:rsidRPr="005140FC" w:rsidRDefault="005140FC" w:rsidP="005140FC">
      <w:pPr>
        <w:spacing w:after="0" w:line="240" w:lineRule="auto"/>
        <w:rPr>
          <w:rFonts w:ascii="Arial Narrow" w:hAnsi="Arial Narrow" w:cs="Tunga"/>
          <w:b/>
          <w:szCs w:val="24"/>
          <w:lang w:val="en-ZA"/>
        </w:rPr>
      </w:pPr>
      <w:r w:rsidRPr="005140FC">
        <w:rPr>
          <w:rFonts w:ascii="Arial Narrow" w:hAnsi="Arial Narrow" w:cs="Tunga"/>
          <w:b/>
          <w:szCs w:val="24"/>
          <w:lang w:val="en-ZA"/>
        </w:rPr>
        <w:t>Reply</w:t>
      </w:r>
    </w:p>
    <w:p w14:paraId="5507919C" w14:textId="77777777" w:rsidR="005140FC" w:rsidRDefault="005140FC" w:rsidP="005140FC">
      <w:pPr>
        <w:spacing w:after="0" w:line="240" w:lineRule="auto"/>
        <w:rPr>
          <w:rFonts w:ascii="Arial Narrow" w:hAnsi="Arial Narrow" w:cs="Tunga"/>
          <w:szCs w:val="24"/>
          <w:lang w:val="en-ZA"/>
        </w:rPr>
      </w:pPr>
    </w:p>
    <w:p w14:paraId="1E6A02F0" w14:textId="77777777" w:rsidR="005140FC" w:rsidRPr="005140FC" w:rsidRDefault="005140FC" w:rsidP="00A80DAE">
      <w:pPr>
        <w:spacing w:after="0" w:line="360" w:lineRule="auto"/>
        <w:rPr>
          <w:rFonts w:ascii="Arial Narrow" w:hAnsi="Arial Narrow" w:cs="Tunga"/>
          <w:szCs w:val="24"/>
          <w:lang w:val="en-ZA"/>
        </w:rPr>
      </w:pPr>
      <w:r w:rsidRPr="005140FC">
        <w:rPr>
          <w:rFonts w:ascii="Arial Narrow" w:hAnsi="Arial Narrow" w:cs="Tunga"/>
          <w:b/>
          <w:szCs w:val="24"/>
          <w:lang w:val="en-ZA"/>
        </w:rPr>
        <w:t>In response to (a</w:t>
      </w:r>
      <w:proofErr w:type="gramStart"/>
      <w:r w:rsidRPr="005140FC">
        <w:rPr>
          <w:rFonts w:ascii="Arial Narrow" w:hAnsi="Arial Narrow" w:cs="Tunga"/>
          <w:b/>
          <w:szCs w:val="24"/>
          <w:lang w:val="en-ZA"/>
        </w:rPr>
        <w:t>)(</w:t>
      </w:r>
      <w:proofErr w:type="spellStart"/>
      <w:proofErr w:type="gramEnd"/>
      <w:r w:rsidRPr="005140FC">
        <w:rPr>
          <w:rFonts w:ascii="Arial Narrow" w:hAnsi="Arial Narrow" w:cs="Tunga"/>
          <w:b/>
          <w:szCs w:val="24"/>
          <w:lang w:val="en-ZA"/>
        </w:rPr>
        <w:t>i</w:t>
      </w:r>
      <w:proofErr w:type="spellEnd"/>
      <w:r w:rsidRPr="005140FC">
        <w:rPr>
          <w:rFonts w:ascii="Arial Narrow" w:hAnsi="Arial Narrow" w:cs="Tunga"/>
          <w:b/>
          <w:szCs w:val="24"/>
          <w:lang w:val="en-ZA"/>
        </w:rPr>
        <w:t>) and (a)(ii),</w:t>
      </w:r>
      <w:r>
        <w:rPr>
          <w:rFonts w:ascii="Arial Narrow" w:hAnsi="Arial Narrow" w:cs="Tunga"/>
          <w:szCs w:val="24"/>
          <w:lang w:val="en-ZA"/>
        </w:rPr>
        <w:t xml:space="preserve"> </w:t>
      </w:r>
      <w:r w:rsidR="00A46CC0">
        <w:rPr>
          <w:rFonts w:ascii="Arial Narrow" w:hAnsi="Arial Narrow" w:cs="Tunga"/>
          <w:szCs w:val="24"/>
          <w:lang w:val="en-ZA"/>
        </w:rPr>
        <w:t xml:space="preserve">as at Financial Close </w:t>
      </w:r>
      <w:r>
        <w:rPr>
          <w:rFonts w:ascii="Arial Narrow" w:hAnsi="Arial Narrow" w:cs="Tunga"/>
          <w:szCs w:val="24"/>
          <w:lang w:val="en-ZA"/>
        </w:rPr>
        <w:t>t</w:t>
      </w:r>
      <w:r w:rsidRPr="005140FC">
        <w:rPr>
          <w:rFonts w:ascii="Arial Narrow" w:hAnsi="Arial Narrow" w:cs="Tunga"/>
          <w:szCs w:val="24"/>
          <w:lang w:val="en-ZA"/>
        </w:rPr>
        <w:t xml:space="preserve">he 10 highest shareholders </w:t>
      </w:r>
      <w:r>
        <w:rPr>
          <w:rFonts w:ascii="Arial Narrow" w:hAnsi="Arial Narrow" w:cs="Tunga"/>
          <w:szCs w:val="24"/>
          <w:lang w:val="en-ZA"/>
        </w:rPr>
        <w:t xml:space="preserve">in terms of percentage and Rand value </w:t>
      </w:r>
      <w:r w:rsidRPr="005140FC">
        <w:rPr>
          <w:rFonts w:ascii="Arial Narrow" w:hAnsi="Arial Narrow" w:cs="Tunga"/>
          <w:szCs w:val="24"/>
          <w:lang w:val="en-ZA"/>
        </w:rPr>
        <w:t>for each of the Independent Power Producer Bid Windows are provided in the table</w:t>
      </w:r>
      <w:r>
        <w:rPr>
          <w:rFonts w:ascii="Arial Narrow" w:hAnsi="Arial Narrow" w:cs="Tunga"/>
          <w:szCs w:val="24"/>
          <w:lang w:val="en-ZA"/>
        </w:rPr>
        <w:t>s</w:t>
      </w:r>
      <w:r w:rsidRPr="005140FC">
        <w:rPr>
          <w:rFonts w:ascii="Arial Narrow" w:hAnsi="Arial Narrow" w:cs="Tunga"/>
          <w:szCs w:val="24"/>
          <w:lang w:val="en-ZA"/>
        </w:rPr>
        <w:t xml:space="preserve"> below:</w:t>
      </w:r>
    </w:p>
    <w:p w14:paraId="63FF6EED" w14:textId="77777777" w:rsidR="005140FC" w:rsidRDefault="005140FC" w:rsidP="005140FC">
      <w:pPr>
        <w:pStyle w:val="ListParagraph"/>
        <w:spacing w:after="0" w:line="240" w:lineRule="auto"/>
        <w:ind w:left="567"/>
        <w:rPr>
          <w:rFonts w:ascii="Arial Narrow" w:hAnsi="Arial Narrow" w:cs="Tunga"/>
          <w:szCs w:val="24"/>
          <w:lang w:val="en-ZA"/>
        </w:rPr>
      </w:pPr>
    </w:p>
    <w:tbl>
      <w:tblPr>
        <w:tblW w:w="9460" w:type="dxa"/>
        <w:tblInd w:w="108" w:type="dxa"/>
        <w:tblLook w:val="04A0" w:firstRow="1" w:lastRow="0" w:firstColumn="1" w:lastColumn="0" w:noHBand="0" w:noVBand="1"/>
      </w:tblPr>
      <w:tblGrid>
        <w:gridCol w:w="5103"/>
        <w:gridCol w:w="1917"/>
        <w:gridCol w:w="2440"/>
      </w:tblGrid>
      <w:tr w:rsidR="004246AC" w:rsidRPr="005140FC" w14:paraId="6BA92509" w14:textId="77777777" w:rsidTr="00967A04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4F6DB6" w14:textId="77777777" w:rsidR="004246AC" w:rsidRDefault="004246A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ZA" w:eastAsia="en-Z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ZA" w:eastAsia="en-ZA"/>
              </w:rPr>
              <w:t>As at Financial Close in 2012/13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30C35F" w14:textId="77777777" w:rsidR="004246AC" w:rsidRPr="005140FC" w:rsidRDefault="004246A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C3EEB4" w14:textId="77777777" w:rsidR="004246AC" w:rsidRPr="005140FC" w:rsidRDefault="004246A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5140FC" w:rsidRPr="005140FC" w14:paraId="5BAFE788" w14:textId="77777777" w:rsidTr="005140FC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FECC92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ZA" w:eastAsia="en-Z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ZA" w:eastAsia="en-ZA"/>
              </w:rPr>
              <w:t>BID WINDOW</w:t>
            </w:r>
            <w:r w:rsidRPr="005140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ZA" w:eastAsia="en-ZA"/>
              </w:rPr>
              <w:t>1 10 Highest Shareholders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FAD216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5A4FB1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5140FC" w:rsidRPr="005140FC" w14:paraId="179DCA56" w14:textId="77777777" w:rsidTr="005140F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522905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Shareholder Name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FC6BC7" w14:textId="77777777" w:rsidR="005140FC" w:rsidRPr="005140FC" w:rsidRDefault="005140FC" w:rsidP="005140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Equity Amount (ZAR)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BF654C" w14:textId="77777777" w:rsidR="005140FC" w:rsidRPr="005140FC" w:rsidRDefault="005140FC" w:rsidP="005140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Equity Amount as a % of Total Equity for Bid Window</w:t>
            </w:r>
          </w:p>
        </w:tc>
      </w:tr>
      <w:tr w:rsidR="005140FC" w:rsidRPr="005140FC" w14:paraId="483EBFBB" w14:textId="77777777" w:rsidTr="005140F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01C9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Abengoa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4CDF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1 724 186 858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BA1C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12.41%</w:t>
            </w:r>
          </w:p>
        </w:tc>
      </w:tr>
      <w:tr w:rsidR="005140FC" w:rsidRPr="005140FC" w14:paraId="55E21D19" w14:textId="77777777" w:rsidTr="005140F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3E34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Globeleq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1F7E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1 210 081 705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ED01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8.71%</w:t>
            </w:r>
          </w:p>
        </w:tc>
      </w:tr>
      <w:tr w:rsidR="005140FC" w:rsidRPr="005140FC" w14:paraId="2F3A8D57" w14:textId="77777777" w:rsidTr="005140F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2AD6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Industrial Development Corporation (IDC)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3D04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   980 419 978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A42A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7.06%</w:t>
            </w:r>
          </w:p>
        </w:tc>
      </w:tr>
      <w:tr w:rsidR="005140FC" w:rsidRPr="005140FC" w14:paraId="38760B7C" w14:textId="77777777" w:rsidTr="005140F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1147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Old Mutual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C65B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   784 701 741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6ABF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5.65%</w:t>
            </w:r>
          </w:p>
        </w:tc>
      </w:tr>
      <w:tr w:rsidR="005140FC" w:rsidRPr="005140FC" w14:paraId="43514E1F" w14:textId="77777777" w:rsidTr="005140F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75AE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Government Employee Pension Fund (GEPF)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61B0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   764 647 675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6FBC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5.50%</w:t>
            </w:r>
          </w:p>
        </w:tc>
      </w:tr>
      <w:tr w:rsidR="005140FC" w:rsidRPr="005140FC" w14:paraId="001F7E09" w14:textId="77777777" w:rsidTr="005140F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D866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Oakleaf</w:t>
            </w:r>
            <w:proofErr w:type="spellEnd"/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Investment Holdings 83 (Pty) Ltd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926E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   640 295 147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437A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4.61%</w:t>
            </w:r>
          </w:p>
        </w:tc>
      </w:tr>
      <w:tr w:rsidR="005140FC" w:rsidRPr="005140FC" w14:paraId="26644E54" w14:textId="77777777" w:rsidTr="005140F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C329" w14:textId="77777777" w:rsidR="005140FC" w:rsidRPr="005140FC" w:rsidRDefault="00EC40F7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Pele Green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D5F5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   539 291 875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0CF8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3.88%</w:t>
            </w:r>
          </w:p>
        </w:tc>
      </w:tr>
      <w:tr w:rsidR="005140FC" w:rsidRPr="005140FC" w14:paraId="229FD5D9" w14:textId="77777777" w:rsidTr="005140F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A3E3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African Infrastructure Investment Fund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1E39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   534 755 267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33C5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3.85%</w:t>
            </w:r>
          </w:p>
        </w:tc>
      </w:tr>
      <w:tr w:rsidR="005140FC" w:rsidRPr="005140FC" w14:paraId="42B9550E" w14:textId="77777777" w:rsidTr="005140F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B208" w14:textId="77777777" w:rsidR="005140FC" w:rsidRPr="005140FC" w:rsidRDefault="00EC40F7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Thebe Group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D2B1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   447 406 182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BED2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3.22%</w:t>
            </w:r>
          </w:p>
        </w:tc>
      </w:tr>
      <w:tr w:rsidR="005140FC" w:rsidRPr="005140FC" w14:paraId="48F80A83" w14:textId="77777777" w:rsidTr="005140F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E0F6" w14:textId="77777777" w:rsidR="005140FC" w:rsidRPr="005140FC" w:rsidRDefault="00A46CC0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A46C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Newshelf</w:t>
            </w:r>
            <w:proofErr w:type="spellEnd"/>
            <w:r w:rsidRPr="00A46C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1152 (Pty) Ltd [</w:t>
            </w:r>
            <w:proofErr w:type="spellStart"/>
            <w:r w:rsidRPr="00A46C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Kaxu</w:t>
            </w:r>
            <w:proofErr w:type="spellEnd"/>
            <w:r w:rsidRPr="00A46C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Community Trust]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2644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   390 625 415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E3EF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2.81%</w:t>
            </w:r>
          </w:p>
        </w:tc>
      </w:tr>
      <w:tr w:rsidR="005140FC" w:rsidRPr="005140FC" w14:paraId="028F3B79" w14:textId="77777777" w:rsidTr="005140FC">
        <w:trPr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EB81064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Total Equity for Bid Window</w:t>
            </w:r>
          </w:p>
        </w:tc>
        <w:tc>
          <w:tcPr>
            <w:tcW w:w="19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659AD23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 13 893 807 469 </w:t>
            </w:r>
          </w:p>
        </w:tc>
        <w:tc>
          <w:tcPr>
            <w:tcW w:w="2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953E544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5140FC" w:rsidRPr="005140FC" w14:paraId="13EA791C" w14:textId="77777777" w:rsidTr="005140FC">
        <w:trPr>
          <w:trHeight w:val="2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529E" w14:textId="77777777" w:rsid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  <w:p w14:paraId="33DA3F7B" w14:textId="77777777" w:rsidR="002F420A" w:rsidRDefault="002F420A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  <w:p w14:paraId="56C2217B" w14:textId="77777777" w:rsidR="002F420A" w:rsidRDefault="002F420A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  <w:p w14:paraId="708B56AE" w14:textId="77777777" w:rsidR="002F420A" w:rsidRDefault="002F420A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  <w:p w14:paraId="2C8939BD" w14:textId="77777777" w:rsidR="002F420A" w:rsidRDefault="002F420A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  <w:p w14:paraId="4BE9354C" w14:textId="77777777" w:rsidR="002F420A" w:rsidRPr="005140FC" w:rsidRDefault="002F420A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821F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C41D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A" w:eastAsia="en-ZA"/>
              </w:rPr>
            </w:pPr>
          </w:p>
        </w:tc>
      </w:tr>
      <w:tr w:rsidR="004246AC" w:rsidRPr="005140FC" w14:paraId="26F4D579" w14:textId="77777777" w:rsidTr="00967A04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34E238" w14:textId="77777777" w:rsidR="004246AC" w:rsidRDefault="004246A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ZA" w:eastAsia="en-Z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ZA" w:eastAsia="en-ZA"/>
              </w:rPr>
              <w:lastRenderedPageBreak/>
              <w:t>As at Financial Close in 2013/14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D736E9" w14:textId="77777777" w:rsidR="004246AC" w:rsidRPr="005140FC" w:rsidRDefault="004246A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628E2A" w14:textId="77777777" w:rsidR="004246AC" w:rsidRPr="005140FC" w:rsidRDefault="004246A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5140FC" w:rsidRPr="005140FC" w14:paraId="4D7C8F32" w14:textId="77777777" w:rsidTr="005140FC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AE524F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ZA" w:eastAsia="en-Z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ZA" w:eastAsia="en-ZA"/>
              </w:rPr>
              <w:t>BID WINDOW</w:t>
            </w:r>
            <w:r w:rsidRPr="005140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ZA" w:eastAsia="en-ZA"/>
              </w:rPr>
              <w:t>2 10 Highest Shareholders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9861E3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F01C5B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5140FC" w:rsidRPr="005140FC" w14:paraId="494E2CFB" w14:textId="77777777" w:rsidTr="005140F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8E5D96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Shareholder Name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A916F6" w14:textId="77777777" w:rsidR="005140FC" w:rsidRPr="005140FC" w:rsidRDefault="005140FC" w:rsidP="005140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Equity Amount (ZAR)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E2C28B" w14:textId="77777777" w:rsidR="005140FC" w:rsidRPr="005140FC" w:rsidRDefault="005140FC" w:rsidP="005140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Equity Amount as a % of Total Equity for Bid Window</w:t>
            </w:r>
          </w:p>
        </w:tc>
      </w:tr>
      <w:tr w:rsidR="00A46CC0" w:rsidRPr="005140FC" w14:paraId="4C11FFC9" w14:textId="77777777" w:rsidTr="00FC66D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074E5" w14:textId="77777777" w:rsidR="00A46CC0" w:rsidRPr="005140FC" w:rsidRDefault="00A46CC0" w:rsidP="00A46C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FC66D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Cennergi (Pty) Ltd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5B9F" w14:textId="77777777" w:rsidR="00A46CC0" w:rsidRPr="005140FC" w:rsidRDefault="00A46CC0" w:rsidP="00A46C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1 293 946 054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A1D9" w14:textId="77777777" w:rsidR="00A46CC0" w:rsidRPr="005140FC" w:rsidRDefault="00A46CC0" w:rsidP="00A46C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15.25%</w:t>
            </w:r>
          </w:p>
        </w:tc>
      </w:tr>
      <w:tr w:rsidR="00A46CC0" w:rsidRPr="005140FC" w14:paraId="50A059FA" w14:textId="77777777" w:rsidTr="00FC66D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EA8D2" w14:textId="77777777" w:rsidR="00A46CC0" w:rsidRPr="005140FC" w:rsidRDefault="00A46CC0" w:rsidP="00A46C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FC66D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Government Employee Pension Fund (GEPF)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6239" w14:textId="77777777" w:rsidR="00A46CC0" w:rsidRPr="005140FC" w:rsidRDefault="008043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   </w:t>
            </w:r>
            <w:r w:rsidRPr="008043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703 139 811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E7B2" w14:textId="77777777" w:rsidR="00A46CC0" w:rsidRPr="005140FC" w:rsidRDefault="00A46CC0" w:rsidP="00A46C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8.29%</w:t>
            </w:r>
          </w:p>
        </w:tc>
      </w:tr>
      <w:tr w:rsidR="00A46CC0" w:rsidRPr="005140FC" w14:paraId="6853B626" w14:textId="77777777" w:rsidTr="00FC66D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89C25" w14:textId="77777777" w:rsidR="00A46CC0" w:rsidRPr="005140FC" w:rsidRDefault="00A46CC0" w:rsidP="00A46C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FC66D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Acciona</w:t>
            </w:r>
            <w:proofErr w:type="spellEnd"/>
            <w:r w:rsidRPr="00FC66D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Energy South Africa (Pty) Ltd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067F" w14:textId="77777777" w:rsidR="00A46CC0" w:rsidRPr="005140FC" w:rsidRDefault="00A46CC0" w:rsidP="00A46C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   702 087 913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DB73" w14:textId="77777777" w:rsidR="00A46CC0" w:rsidRPr="005140FC" w:rsidRDefault="00A46CC0" w:rsidP="00A46C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8.27%</w:t>
            </w:r>
          </w:p>
        </w:tc>
      </w:tr>
      <w:tr w:rsidR="00A46CC0" w:rsidRPr="005140FC" w14:paraId="35A101E8" w14:textId="77777777" w:rsidTr="00FC66D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FB4CE" w14:textId="77777777" w:rsidR="00A46CC0" w:rsidRPr="005140FC" w:rsidRDefault="00A46CC0" w:rsidP="00A46C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FC66D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ACWA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3D58" w14:textId="77777777" w:rsidR="00A46CC0" w:rsidRPr="005140FC" w:rsidRDefault="00A46CC0" w:rsidP="00A46C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   601 200 000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3235" w14:textId="77777777" w:rsidR="00A46CC0" w:rsidRPr="005140FC" w:rsidRDefault="00A46CC0" w:rsidP="00A46C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7.09%</w:t>
            </w:r>
          </w:p>
        </w:tc>
      </w:tr>
      <w:tr w:rsidR="00A46CC0" w:rsidRPr="005140FC" w14:paraId="07C8EB65" w14:textId="77777777" w:rsidTr="00FC66D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2F546" w14:textId="77777777" w:rsidR="00A46CC0" w:rsidRPr="005140FC" w:rsidRDefault="00A46CC0" w:rsidP="00A46C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FC66D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Scatec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7005" w14:textId="77777777" w:rsidR="00A46CC0" w:rsidRPr="005140FC" w:rsidRDefault="00A46CC0" w:rsidP="00A46C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   395 156 598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57BD" w14:textId="77777777" w:rsidR="00A46CC0" w:rsidRPr="005140FC" w:rsidRDefault="00A46CC0" w:rsidP="00A46C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4.66%</w:t>
            </w:r>
          </w:p>
        </w:tc>
      </w:tr>
      <w:tr w:rsidR="00A46CC0" w:rsidRPr="005140FC" w14:paraId="610F485A" w14:textId="77777777" w:rsidTr="00FC66D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B2D60" w14:textId="77777777" w:rsidR="00A46CC0" w:rsidRPr="005140FC" w:rsidRDefault="00A46CC0" w:rsidP="00A46C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FC66D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Innowind (Pty) Ltd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91BE" w14:textId="77777777" w:rsidR="00A46CC0" w:rsidRPr="005140FC" w:rsidRDefault="00A46CC0" w:rsidP="00A46C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   339 719 987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0602" w14:textId="77777777" w:rsidR="00A46CC0" w:rsidRPr="005140FC" w:rsidRDefault="00A46CC0" w:rsidP="00A46C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4.00%</w:t>
            </w:r>
          </w:p>
        </w:tc>
      </w:tr>
      <w:tr w:rsidR="00A46CC0" w:rsidRPr="005140FC" w14:paraId="43158EEE" w14:textId="77777777" w:rsidTr="00FC66D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856E" w14:textId="77777777" w:rsidR="00A46CC0" w:rsidRPr="005140FC" w:rsidRDefault="00A46CC0" w:rsidP="00A46C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FC66D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Royal </w:t>
            </w:r>
            <w:proofErr w:type="spellStart"/>
            <w:r w:rsidRPr="00FC66D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Bafokeng</w:t>
            </w:r>
            <w:proofErr w:type="spellEnd"/>
            <w:r w:rsidRPr="00FC66D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Holdings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938C" w14:textId="77777777" w:rsidR="00A46CC0" w:rsidRPr="005140FC" w:rsidRDefault="00A46CC0" w:rsidP="00A46C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   320 991 013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1962" w14:textId="77777777" w:rsidR="00A46CC0" w:rsidRPr="005140FC" w:rsidRDefault="00A46CC0" w:rsidP="00A46C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3.78%</w:t>
            </w:r>
          </w:p>
        </w:tc>
      </w:tr>
      <w:tr w:rsidR="00A46CC0" w:rsidRPr="005140FC" w14:paraId="5A4BFA91" w14:textId="77777777" w:rsidTr="00FC66D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9217F" w14:textId="77777777" w:rsidR="00A46CC0" w:rsidRPr="005140FC" w:rsidRDefault="00A46CC0" w:rsidP="00A46C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FC66D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Globeleq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C13B" w14:textId="77777777" w:rsidR="00A46CC0" w:rsidRPr="005140FC" w:rsidRDefault="00A46CC0" w:rsidP="00A46C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   278 948 194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C1D6" w14:textId="77777777" w:rsidR="00A46CC0" w:rsidRPr="005140FC" w:rsidRDefault="00A46CC0" w:rsidP="00A46C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3.29%</w:t>
            </w:r>
          </w:p>
        </w:tc>
      </w:tr>
      <w:tr w:rsidR="00A46CC0" w:rsidRPr="005140FC" w14:paraId="6D7DF156" w14:textId="77777777" w:rsidTr="00FC66D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885FC" w14:textId="77777777" w:rsidR="00A46CC0" w:rsidRPr="005140FC" w:rsidRDefault="00A46CC0" w:rsidP="00A46C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FC66D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Nehawu</w:t>
            </w:r>
            <w:proofErr w:type="spellEnd"/>
            <w:r w:rsidRPr="00FC66D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Investment Holdings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F14F" w14:textId="77777777" w:rsidR="00A46CC0" w:rsidRPr="005140FC" w:rsidRDefault="00A46CC0" w:rsidP="00A46C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   278 948 194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3898" w14:textId="77777777" w:rsidR="00A46CC0" w:rsidRPr="005140FC" w:rsidRDefault="00A46CC0" w:rsidP="00A46C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3.29%</w:t>
            </w:r>
          </w:p>
        </w:tc>
      </w:tr>
      <w:tr w:rsidR="00A46CC0" w:rsidRPr="005140FC" w14:paraId="08516FD5" w14:textId="77777777" w:rsidTr="00FC66D0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07372" w14:textId="77777777" w:rsidR="00A46CC0" w:rsidRPr="005140FC" w:rsidRDefault="00A46CC0" w:rsidP="00A46CC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FC66D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GSEATSA (GDF SUEZ Energy Asia Turkey &amp; Southern Africa B.V)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91FE" w14:textId="77777777" w:rsidR="00A46CC0" w:rsidRPr="005140FC" w:rsidRDefault="00A46CC0" w:rsidP="0080431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   </w:t>
            </w:r>
            <w:r w:rsidR="0080431A" w:rsidRPr="008043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209 150 271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6BE2" w14:textId="77777777" w:rsidR="00A46CC0" w:rsidRPr="005140FC" w:rsidRDefault="00A46CC0" w:rsidP="00A46CC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2.47%</w:t>
            </w:r>
          </w:p>
        </w:tc>
      </w:tr>
      <w:tr w:rsidR="005140FC" w:rsidRPr="005140FC" w14:paraId="295459D6" w14:textId="77777777" w:rsidTr="005140FC">
        <w:trPr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73BF0BB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Total Equity for Bid Window</w:t>
            </w:r>
          </w:p>
        </w:tc>
        <w:tc>
          <w:tcPr>
            <w:tcW w:w="19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18F122C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   8 484 640 803 </w:t>
            </w:r>
          </w:p>
        </w:tc>
        <w:tc>
          <w:tcPr>
            <w:tcW w:w="2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8B8EC77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5140FC" w:rsidRPr="005140FC" w14:paraId="0ECC68BC" w14:textId="77777777" w:rsidTr="005140FC">
        <w:trPr>
          <w:trHeight w:val="2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40F5" w14:textId="77777777" w:rsid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  <w:p w14:paraId="289D0161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BD3B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55DB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A" w:eastAsia="en-ZA"/>
              </w:rPr>
            </w:pPr>
          </w:p>
        </w:tc>
      </w:tr>
      <w:tr w:rsidR="004246AC" w:rsidRPr="005140FC" w14:paraId="7E7F8453" w14:textId="77777777" w:rsidTr="00967A04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DAB449" w14:textId="77777777" w:rsidR="004246AC" w:rsidRDefault="004246A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ZA" w:eastAsia="en-Z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ZA" w:eastAsia="en-ZA"/>
              </w:rPr>
              <w:t>As at Financial Close in 2014/15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433301" w14:textId="77777777" w:rsidR="004246AC" w:rsidRPr="005140FC" w:rsidRDefault="004246A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088913" w14:textId="77777777" w:rsidR="004246AC" w:rsidRPr="005140FC" w:rsidRDefault="004246A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5140FC" w:rsidRPr="005140FC" w14:paraId="0C6F8C76" w14:textId="77777777" w:rsidTr="005140FC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046FF7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ZA" w:eastAsia="en-Z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ZA" w:eastAsia="en-ZA"/>
              </w:rPr>
              <w:t>BID WINDOW</w:t>
            </w:r>
            <w:r w:rsidRPr="005140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ZA" w:eastAsia="en-ZA"/>
              </w:rPr>
              <w:t>3 10 Highest Shareholders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4854D6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EB6432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5140FC" w:rsidRPr="005140FC" w14:paraId="67D1F42A" w14:textId="77777777" w:rsidTr="005140F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6C4A7C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Shareholder Name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7232B1" w14:textId="77777777" w:rsidR="005140FC" w:rsidRPr="005140FC" w:rsidRDefault="005140FC" w:rsidP="005140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Equity Amount (ZAR)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0F7A42" w14:textId="77777777" w:rsidR="005140FC" w:rsidRPr="005140FC" w:rsidRDefault="005140FC" w:rsidP="005140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Equity Amount as a % of Total Equity for Bid Window</w:t>
            </w:r>
          </w:p>
        </w:tc>
      </w:tr>
      <w:tr w:rsidR="005140FC" w:rsidRPr="005140FC" w14:paraId="53F9E02B" w14:textId="77777777" w:rsidTr="005140F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E651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Enel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A351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5 198 996 899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37DD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27.66%</w:t>
            </w:r>
          </w:p>
        </w:tc>
      </w:tr>
      <w:tr w:rsidR="005140FC" w:rsidRPr="005140FC" w14:paraId="2740D378" w14:textId="77777777" w:rsidTr="005140F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A504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Lekela</w:t>
            </w:r>
            <w:proofErr w:type="spellEnd"/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Power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6AA9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1 449 624 347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B7EC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7.71%</w:t>
            </w:r>
          </w:p>
        </w:tc>
      </w:tr>
      <w:tr w:rsidR="005140FC" w:rsidRPr="005140FC" w14:paraId="75B090B2" w14:textId="77777777" w:rsidTr="005140F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6A4C" w14:textId="77777777" w:rsidR="005140FC" w:rsidRPr="005140FC" w:rsidRDefault="00A46CC0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A46C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Industrial Development Corporation (IDC)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DF4C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1 094 745 135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197C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5.82%</w:t>
            </w:r>
          </w:p>
        </w:tc>
      </w:tr>
      <w:tr w:rsidR="005140FC" w:rsidRPr="005140FC" w14:paraId="4C169603" w14:textId="77777777" w:rsidTr="005140F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F706" w14:textId="77777777" w:rsidR="005140FC" w:rsidRPr="005140FC" w:rsidRDefault="00A46CC0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A46C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Government Employee Pension Fund (GEPF)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6C7C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1 031 902 826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9995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5.49%</w:t>
            </w:r>
          </w:p>
        </w:tc>
      </w:tr>
      <w:tr w:rsidR="005140FC" w:rsidRPr="005140FC" w14:paraId="79627DC4" w14:textId="77777777" w:rsidTr="005140F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C35D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Xina</w:t>
            </w:r>
            <w:proofErr w:type="spellEnd"/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CSP South Africa (Pty) Ltd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8B32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1 020 159 759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D0C9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5.43%</w:t>
            </w:r>
          </w:p>
        </w:tc>
      </w:tr>
      <w:tr w:rsidR="005140FC" w:rsidRPr="005140FC" w14:paraId="0FE6DF7B" w14:textId="77777777" w:rsidTr="005140F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C4BC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Gibson Bay Wind Farm Community Trust SPV (RF) (Pty) Ltd)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35F2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   914 580 498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29A1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4.87%</w:t>
            </w:r>
          </w:p>
        </w:tc>
      </w:tr>
      <w:tr w:rsidR="005140FC" w:rsidRPr="005140FC" w14:paraId="016D1D05" w14:textId="77777777" w:rsidTr="005140F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2AEE" w14:textId="77777777" w:rsidR="005140FC" w:rsidRPr="005140FC" w:rsidRDefault="00543920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439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Royal </w:t>
            </w:r>
            <w:proofErr w:type="spellStart"/>
            <w:r w:rsidRPr="005439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Bafokeng</w:t>
            </w:r>
            <w:proofErr w:type="spellEnd"/>
            <w:r w:rsidRPr="005439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Holdings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BD9B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   765 341 182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D8A6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4.07%</w:t>
            </w:r>
          </w:p>
        </w:tc>
      </w:tr>
      <w:tr w:rsidR="005140FC" w:rsidRPr="005140FC" w14:paraId="3D51B010" w14:textId="77777777" w:rsidTr="005140F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EB95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Longyuan</w:t>
            </w:r>
            <w:proofErr w:type="spellEnd"/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South Africa Renewables (Pty) Ltd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97C2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   745 279 034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D09C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3.96%</w:t>
            </w:r>
          </w:p>
        </w:tc>
      </w:tr>
      <w:tr w:rsidR="005140FC" w:rsidRPr="005140FC" w14:paraId="4EAC7665" w14:textId="77777777" w:rsidTr="005140F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22EB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Grazigystix</w:t>
            </w:r>
            <w:proofErr w:type="spellEnd"/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(Pty) Ltd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4153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   521 822 946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F095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2.78%</w:t>
            </w:r>
          </w:p>
        </w:tc>
      </w:tr>
      <w:tr w:rsidR="005140FC" w:rsidRPr="005140FC" w14:paraId="23FA60AA" w14:textId="77777777" w:rsidTr="005140F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DAAE" w14:textId="77777777" w:rsidR="005140FC" w:rsidRPr="005140FC" w:rsidRDefault="00EC40F7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Pele Green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24D2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   510 961 026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5D70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2.72%</w:t>
            </w:r>
          </w:p>
        </w:tc>
      </w:tr>
      <w:tr w:rsidR="005140FC" w:rsidRPr="005140FC" w14:paraId="5C4F6C68" w14:textId="77777777" w:rsidTr="005140FC">
        <w:trPr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75B1E77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Total Equity for Bid Window</w:t>
            </w:r>
          </w:p>
        </w:tc>
        <w:tc>
          <w:tcPr>
            <w:tcW w:w="19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DACAAB9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 18 796 756 378 </w:t>
            </w:r>
          </w:p>
        </w:tc>
        <w:tc>
          <w:tcPr>
            <w:tcW w:w="2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41E5FD6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5140FC" w:rsidRPr="005140FC" w14:paraId="479323A4" w14:textId="77777777" w:rsidTr="005140FC">
        <w:trPr>
          <w:trHeight w:val="2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BF8C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6208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B6A1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A" w:eastAsia="en-ZA"/>
              </w:rPr>
            </w:pPr>
          </w:p>
        </w:tc>
      </w:tr>
      <w:tr w:rsidR="004246AC" w:rsidRPr="005140FC" w14:paraId="42326037" w14:textId="77777777" w:rsidTr="00967A04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CB2CCE" w14:textId="5E08FD65" w:rsidR="004246AC" w:rsidRDefault="004246A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ZA" w:eastAsia="en-Z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ZA" w:eastAsia="en-ZA"/>
              </w:rPr>
              <w:t>As at Financial Close in 2016/17</w:t>
            </w:r>
            <w:r w:rsidR="00B14B08">
              <w:rPr>
                <w:rStyle w:val="FootnoteReference"/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ZA" w:eastAsia="en-ZA"/>
              </w:rPr>
              <w:footnoteReference w:id="1"/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82E00E" w14:textId="77777777" w:rsidR="004246AC" w:rsidRPr="005140FC" w:rsidRDefault="004246A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DA77C9" w14:textId="77777777" w:rsidR="004246AC" w:rsidRPr="005140FC" w:rsidRDefault="004246A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5140FC" w:rsidRPr="005140FC" w14:paraId="3EEC83F5" w14:textId="77777777" w:rsidTr="005140FC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A2041C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ZA" w:eastAsia="en-Z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ZA" w:eastAsia="en-ZA"/>
              </w:rPr>
              <w:t>BID WINDOW</w:t>
            </w:r>
            <w:r w:rsidRPr="005140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ZA" w:eastAsia="en-ZA"/>
              </w:rPr>
              <w:t>3.5 10 Highest Shareholders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846FC0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C000D3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5140FC" w:rsidRPr="005140FC" w14:paraId="38BE1706" w14:textId="77777777" w:rsidTr="005140F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8F17A9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Shareholder Name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8B7714" w14:textId="77777777" w:rsidR="005140FC" w:rsidRPr="005140FC" w:rsidRDefault="005140FC" w:rsidP="005140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Equity Amount (ZAR)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63F515" w14:textId="77777777" w:rsidR="005140FC" w:rsidRPr="005140FC" w:rsidRDefault="005140FC" w:rsidP="005140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Equity Amount as a % of Total Equity for Bid Window</w:t>
            </w:r>
          </w:p>
        </w:tc>
      </w:tr>
      <w:tr w:rsidR="005140FC" w:rsidRPr="005140FC" w14:paraId="3BC5F27A" w14:textId="77777777" w:rsidTr="005140F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0656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ENGIE Global Developments B.V. (EDV) (33161737)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0430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1 738 966 649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4B20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28.93%</w:t>
            </w:r>
          </w:p>
        </w:tc>
      </w:tr>
      <w:tr w:rsidR="005140FC" w:rsidRPr="005140FC" w14:paraId="55AD06DA" w14:textId="77777777" w:rsidTr="005140F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02B8" w14:textId="77777777" w:rsidR="005140FC" w:rsidRPr="005140FC" w:rsidRDefault="00A46CC0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A46CC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Government Employee Pension Fund (GEPF)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22DD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   954 920 103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3FD7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15.89%</w:t>
            </w:r>
          </w:p>
        </w:tc>
      </w:tr>
      <w:tr w:rsidR="005140FC" w:rsidRPr="005140FC" w14:paraId="207EB776" w14:textId="77777777" w:rsidTr="005140F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BAAD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ACWA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64C0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   848 964 953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F4C9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14.12%</w:t>
            </w:r>
          </w:p>
        </w:tc>
      </w:tr>
      <w:tr w:rsidR="005140FC" w:rsidRPr="005140FC" w14:paraId="79F22AB4" w14:textId="77777777" w:rsidTr="005140F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E7D5" w14:textId="77777777" w:rsidR="005140FC" w:rsidRPr="005140FC" w:rsidRDefault="00543920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5439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Subrotouch</w:t>
            </w:r>
            <w:proofErr w:type="spellEnd"/>
            <w:r w:rsidRPr="0054392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(SIOC Community Development Trust)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B88A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   448 187 281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37A8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7.46%</w:t>
            </w:r>
          </w:p>
        </w:tc>
      </w:tr>
      <w:tr w:rsidR="005140FC" w:rsidRPr="005140FC" w14:paraId="2BB978C0" w14:textId="77777777" w:rsidTr="005140F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3333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Lereko</w:t>
            </w:r>
            <w:proofErr w:type="spellEnd"/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Metier REIPPP Fund Trust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1673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   412 332 298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1B55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6.86%</w:t>
            </w:r>
          </w:p>
        </w:tc>
      </w:tr>
      <w:tr w:rsidR="005140FC" w:rsidRPr="005140FC" w14:paraId="513311CA" w14:textId="77777777" w:rsidTr="005140F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34AC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CEF (SOC) Ltd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5292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   363 842 123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8BB2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6.05%</w:t>
            </w:r>
          </w:p>
        </w:tc>
      </w:tr>
      <w:tr w:rsidR="00B657D6" w:rsidRPr="005140FC" w14:paraId="39DCAC88" w14:textId="77777777" w:rsidTr="005140F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6254" w14:textId="77777777" w:rsidR="00B657D6" w:rsidRPr="005140FC" w:rsidRDefault="00B657D6" w:rsidP="00B657D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Investec Bank Limited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F23B" w14:textId="77777777" w:rsidR="00B657D6" w:rsidRPr="005140FC" w:rsidRDefault="00B657D6" w:rsidP="00B657D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   268 912 368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805F" w14:textId="77777777" w:rsidR="00B657D6" w:rsidRPr="005140FC" w:rsidRDefault="00B657D6" w:rsidP="00B657D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4.47%</w:t>
            </w:r>
          </w:p>
        </w:tc>
      </w:tr>
      <w:tr w:rsidR="00B657D6" w:rsidRPr="005140FC" w14:paraId="336E999A" w14:textId="77777777" w:rsidTr="005140F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A629" w14:textId="77777777" w:rsidR="00B657D6" w:rsidRPr="005140FC" w:rsidRDefault="00B657D6" w:rsidP="00B657D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Solar Reserve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5B0C" w14:textId="77777777" w:rsidR="00B657D6" w:rsidRPr="005140FC" w:rsidRDefault="00B657D6" w:rsidP="00B657D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   254 689 486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A145" w14:textId="77777777" w:rsidR="00B657D6" w:rsidRPr="005140FC" w:rsidRDefault="00B657D6" w:rsidP="00B657D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4.24%</w:t>
            </w:r>
          </w:p>
        </w:tc>
      </w:tr>
      <w:tr w:rsidR="00B657D6" w:rsidRPr="005140FC" w14:paraId="1264A42F" w14:textId="77777777" w:rsidTr="005140F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7200" w14:textId="77777777" w:rsidR="00B657D6" w:rsidRPr="005140FC" w:rsidRDefault="00B657D6" w:rsidP="00B657D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Pele Green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47A8" w14:textId="77777777" w:rsidR="00B657D6" w:rsidRPr="005140FC" w:rsidRDefault="00B657D6" w:rsidP="00B657D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   242 561 415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FA2F" w14:textId="77777777" w:rsidR="00B657D6" w:rsidRPr="005140FC" w:rsidRDefault="00B657D6" w:rsidP="00B657D6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4.04%</w:t>
            </w:r>
          </w:p>
        </w:tc>
      </w:tr>
      <w:tr w:rsidR="005140FC" w:rsidRPr="005140FC" w14:paraId="735377A3" w14:textId="77777777" w:rsidTr="005140F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6103" w14:textId="77777777" w:rsidR="005140FC" w:rsidRPr="005140FC" w:rsidRDefault="00B657D6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B657D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Kathu Local Community Trust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83EE" w14:textId="77777777" w:rsidR="005140FC" w:rsidRPr="005140FC" w:rsidRDefault="00B657D6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     </w:t>
            </w:r>
            <w:r w:rsidRPr="00B657D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89 637 456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4B7A" w14:textId="77777777" w:rsidR="005140FC" w:rsidRPr="005140FC" w:rsidRDefault="00B657D6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1.49%</w:t>
            </w:r>
          </w:p>
        </w:tc>
      </w:tr>
      <w:tr w:rsidR="005140FC" w:rsidRPr="005140FC" w14:paraId="062756CE" w14:textId="77777777" w:rsidTr="005140FC">
        <w:trPr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4218CC4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Total Equity for Bid Window</w:t>
            </w:r>
          </w:p>
        </w:tc>
        <w:tc>
          <w:tcPr>
            <w:tcW w:w="19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6223269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   6 011 112 396 </w:t>
            </w:r>
          </w:p>
        </w:tc>
        <w:tc>
          <w:tcPr>
            <w:tcW w:w="2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8F4E5FA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5140FC" w:rsidRPr="005140FC" w14:paraId="7A55861A" w14:textId="77777777" w:rsidTr="005140FC">
        <w:trPr>
          <w:trHeight w:val="270"/>
        </w:trPr>
        <w:tc>
          <w:tcPr>
            <w:tcW w:w="9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CC0B" w14:textId="77777777" w:rsidR="005140FC" w:rsidRPr="005140FC" w:rsidRDefault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ZA" w:eastAsia="en-ZA"/>
              </w:rPr>
            </w:pPr>
          </w:p>
        </w:tc>
      </w:tr>
      <w:tr w:rsidR="004246AC" w:rsidRPr="005140FC" w14:paraId="6577A966" w14:textId="77777777" w:rsidTr="00967A04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0697EB" w14:textId="77777777" w:rsidR="004246AC" w:rsidRDefault="004246A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ZA" w:eastAsia="en-Z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ZA" w:eastAsia="en-ZA"/>
              </w:rPr>
              <w:lastRenderedPageBreak/>
              <w:t>As at Financial Close in 2018/19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FEF19B" w14:textId="77777777" w:rsidR="004246AC" w:rsidRPr="005140FC" w:rsidRDefault="004246A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879BFA" w14:textId="77777777" w:rsidR="004246AC" w:rsidRPr="005140FC" w:rsidRDefault="004246A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5140FC" w:rsidRPr="005140FC" w14:paraId="178804A5" w14:textId="77777777" w:rsidTr="005140FC">
        <w:trPr>
          <w:trHeight w:val="255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AA9741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ZA" w:eastAsia="en-Z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ZA" w:eastAsia="en-ZA"/>
              </w:rPr>
              <w:t>BID WINDOW</w:t>
            </w:r>
            <w:r w:rsidRPr="005140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ZA" w:eastAsia="en-ZA"/>
              </w:rPr>
              <w:t>4 10 Highest Shareholders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79735A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4B1C42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5140FC" w:rsidRPr="005140FC" w14:paraId="0836C7A2" w14:textId="77777777" w:rsidTr="005140FC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26DA5F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Shareholder Name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9463B3" w14:textId="77777777" w:rsidR="005140FC" w:rsidRPr="005140FC" w:rsidRDefault="005140FC" w:rsidP="005140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Equity Amount (ZAR)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C1A72B" w14:textId="77777777" w:rsidR="005140FC" w:rsidRPr="005140FC" w:rsidRDefault="005140FC" w:rsidP="005140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Equity Amount as a % of Total Equity for Bid Window</w:t>
            </w:r>
          </w:p>
        </w:tc>
      </w:tr>
      <w:tr w:rsidR="005140FC" w:rsidRPr="005140FC" w14:paraId="5D6F3169" w14:textId="77777777" w:rsidTr="005140F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4F5E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Enel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A7DB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2 083 686 489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6D2E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16.58%</w:t>
            </w:r>
          </w:p>
        </w:tc>
      </w:tr>
      <w:tr w:rsidR="005140FC" w:rsidRPr="005140FC" w14:paraId="76C84CFD" w14:textId="77777777" w:rsidTr="005140F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6FBA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Old Mutual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D93C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1 049 847 382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A225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8.35%</w:t>
            </w:r>
          </w:p>
        </w:tc>
      </w:tr>
      <w:tr w:rsidR="005140FC" w:rsidRPr="005140FC" w14:paraId="23892EC5" w14:textId="77777777" w:rsidTr="005140F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8728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BTSA Netherland </w:t>
            </w:r>
            <w:proofErr w:type="spellStart"/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Cooperatie</w:t>
            </w:r>
            <w:proofErr w:type="spellEnd"/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U.A. (</w:t>
            </w:r>
            <w:proofErr w:type="spellStart"/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Biotherm</w:t>
            </w:r>
            <w:proofErr w:type="spellEnd"/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1678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1 014 275 889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ED0E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8.07%</w:t>
            </w:r>
          </w:p>
        </w:tc>
      </w:tr>
      <w:tr w:rsidR="005140FC" w:rsidRPr="005140FC" w14:paraId="7D4A98C4" w14:textId="77777777" w:rsidTr="005140F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F8A2" w14:textId="77777777" w:rsidR="005140FC" w:rsidRPr="005140FC" w:rsidRDefault="00EC40F7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Pele Green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3A1D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   961 712 960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4D85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7.65%</w:t>
            </w:r>
          </w:p>
        </w:tc>
      </w:tr>
      <w:tr w:rsidR="005140FC" w:rsidRPr="005140FC" w14:paraId="70B40E5A" w14:textId="77777777" w:rsidTr="005140F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92E9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H1 Holding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CA4A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   912 439 031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43F6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7.26%</w:t>
            </w:r>
          </w:p>
        </w:tc>
      </w:tr>
      <w:tr w:rsidR="005140FC" w:rsidRPr="005140FC" w14:paraId="7B6CE9B4" w14:textId="77777777" w:rsidTr="005140F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98AB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Lekela</w:t>
            </w:r>
            <w:proofErr w:type="spellEnd"/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Power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A945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   897 924 503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8B0A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7.14%</w:t>
            </w:r>
          </w:p>
        </w:tc>
      </w:tr>
      <w:tr w:rsidR="005140FC" w:rsidRPr="005140FC" w14:paraId="38FDF172" w14:textId="77777777" w:rsidTr="005140F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8DF6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Brezza</w:t>
            </w:r>
            <w:proofErr w:type="spellEnd"/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Africana (RF) (PTY) LTD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DBAE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   682 396 348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565C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5.43%</w:t>
            </w:r>
          </w:p>
        </w:tc>
      </w:tr>
      <w:tr w:rsidR="005140FC" w:rsidRPr="005140FC" w14:paraId="76D0EEA3" w14:textId="77777777" w:rsidTr="005140F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7D15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Scatec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39DC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   634 065 319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A5B5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5.04%</w:t>
            </w:r>
          </w:p>
        </w:tc>
      </w:tr>
      <w:tr w:rsidR="005140FC" w:rsidRPr="005140FC" w14:paraId="74346AB7" w14:textId="77777777" w:rsidTr="005140F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D3E8" w14:textId="77777777" w:rsidR="005140FC" w:rsidRPr="005140FC" w:rsidRDefault="00EC40F7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Thebe Group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4C51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   633 922 430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7B86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5.04%</w:t>
            </w:r>
          </w:p>
        </w:tc>
      </w:tr>
      <w:tr w:rsidR="005140FC" w:rsidRPr="005140FC" w14:paraId="07CF0741" w14:textId="77777777" w:rsidTr="005140FC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E0AD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Elawan</w:t>
            </w:r>
            <w:proofErr w:type="spellEnd"/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Energy S.L (</w:t>
            </w:r>
            <w:proofErr w:type="spellStart"/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Gestamp</w:t>
            </w:r>
            <w:proofErr w:type="spellEnd"/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F96D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   385 125 628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CDBA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3.06%</w:t>
            </w:r>
          </w:p>
        </w:tc>
      </w:tr>
      <w:tr w:rsidR="005140FC" w:rsidRPr="005140FC" w14:paraId="4D8020E1" w14:textId="77777777" w:rsidTr="005140FC">
        <w:trPr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C56024F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Total Equity for Bid Window</w:t>
            </w:r>
          </w:p>
        </w:tc>
        <w:tc>
          <w:tcPr>
            <w:tcW w:w="19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AA3654A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 12 569 964 925 </w:t>
            </w:r>
          </w:p>
        </w:tc>
        <w:tc>
          <w:tcPr>
            <w:tcW w:w="2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971CADB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</w:tbl>
    <w:p w14:paraId="477A321A" w14:textId="77777777" w:rsidR="005140FC" w:rsidRDefault="005140FC" w:rsidP="005140FC">
      <w:pPr>
        <w:spacing w:after="0" w:line="240" w:lineRule="auto"/>
        <w:rPr>
          <w:rFonts w:ascii="Arial Narrow" w:hAnsi="Arial Narrow" w:cs="Tunga"/>
          <w:szCs w:val="24"/>
          <w:lang w:val="en-ZA"/>
        </w:rPr>
      </w:pPr>
    </w:p>
    <w:p w14:paraId="18E98841" w14:textId="77777777" w:rsidR="00A80DAE" w:rsidRDefault="00A80DAE" w:rsidP="005140FC">
      <w:pPr>
        <w:spacing w:after="0" w:line="240" w:lineRule="auto"/>
        <w:rPr>
          <w:rFonts w:ascii="Arial Narrow" w:hAnsi="Arial Narrow" w:cs="Tunga"/>
          <w:b/>
          <w:szCs w:val="24"/>
          <w:lang w:val="en-ZA"/>
        </w:rPr>
      </w:pPr>
    </w:p>
    <w:p w14:paraId="35E0EB88" w14:textId="77777777" w:rsidR="005140FC" w:rsidRDefault="005140FC" w:rsidP="00A80DAE">
      <w:pPr>
        <w:spacing w:after="0" w:line="360" w:lineRule="auto"/>
        <w:rPr>
          <w:rFonts w:ascii="Arial Narrow" w:hAnsi="Arial Narrow" w:cs="Tunga"/>
          <w:szCs w:val="24"/>
          <w:lang w:val="en-ZA"/>
        </w:rPr>
      </w:pPr>
      <w:r w:rsidRPr="005140FC">
        <w:rPr>
          <w:rFonts w:ascii="Arial Narrow" w:hAnsi="Arial Narrow" w:cs="Tunga"/>
          <w:b/>
          <w:szCs w:val="24"/>
          <w:lang w:val="en-ZA"/>
        </w:rPr>
        <w:t xml:space="preserve">In response to </w:t>
      </w:r>
      <w:proofErr w:type="gramStart"/>
      <w:r w:rsidRPr="005140FC">
        <w:rPr>
          <w:rFonts w:ascii="Arial Narrow" w:hAnsi="Arial Narrow" w:cs="Tunga"/>
          <w:b/>
          <w:szCs w:val="24"/>
          <w:lang w:val="en-ZA"/>
        </w:rPr>
        <w:t>b(</w:t>
      </w:r>
      <w:proofErr w:type="spellStart"/>
      <w:proofErr w:type="gramEnd"/>
      <w:r w:rsidRPr="005140FC">
        <w:rPr>
          <w:rFonts w:ascii="Arial Narrow" w:hAnsi="Arial Narrow" w:cs="Tunga"/>
          <w:b/>
          <w:szCs w:val="24"/>
          <w:lang w:val="en-ZA"/>
        </w:rPr>
        <w:t>i</w:t>
      </w:r>
      <w:proofErr w:type="spellEnd"/>
      <w:r w:rsidRPr="005140FC">
        <w:rPr>
          <w:rFonts w:ascii="Arial Narrow" w:hAnsi="Arial Narrow" w:cs="Tunga"/>
          <w:b/>
          <w:szCs w:val="24"/>
          <w:lang w:val="en-ZA"/>
        </w:rPr>
        <w:t>) and b(ii)</w:t>
      </w:r>
      <w:r>
        <w:rPr>
          <w:rFonts w:ascii="Arial Narrow" w:hAnsi="Arial Narrow" w:cs="Tunga"/>
          <w:b/>
          <w:szCs w:val="24"/>
          <w:lang w:val="en-ZA"/>
        </w:rPr>
        <w:t xml:space="preserve">, </w:t>
      </w:r>
      <w:r w:rsidR="00A46CC0" w:rsidRPr="00FC66D0">
        <w:rPr>
          <w:rFonts w:ascii="Arial Narrow" w:hAnsi="Arial Narrow" w:cs="Tunga"/>
          <w:szCs w:val="24"/>
          <w:lang w:val="en-ZA"/>
        </w:rPr>
        <w:t>as at Financial Close</w:t>
      </w:r>
      <w:r w:rsidR="00A46CC0">
        <w:rPr>
          <w:rFonts w:ascii="Arial Narrow" w:hAnsi="Arial Narrow" w:cs="Tunga"/>
          <w:b/>
          <w:szCs w:val="24"/>
          <w:lang w:val="en-ZA"/>
        </w:rPr>
        <w:t xml:space="preserve"> </w:t>
      </w:r>
      <w:r>
        <w:rPr>
          <w:rFonts w:ascii="Arial Narrow" w:hAnsi="Arial Narrow" w:cs="Tunga"/>
          <w:szCs w:val="24"/>
          <w:lang w:val="en-ZA"/>
        </w:rPr>
        <w:t>t</w:t>
      </w:r>
      <w:r w:rsidRPr="005140FC">
        <w:rPr>
          <w:rFonts w:ascii="Arial Narrow" w:hAnsi="Arial Narrow" w:cs="Tunga"/>
          <w:szCs w:val="24"/>
          <w:lang w:val="en-ZA"/>
        </w:rPr>
        <w:t>he 10 highest debt providers in terms of percentage and Rand value for each of the Independent Power Producer Bid Windows are provided in the table</w:t>
      </w:r>
      <w:r>
        <w:rPr>
          <w:rFonts w:ascii="Arial Narrow" w:hAnsi="Arial Narrow" w:cs="Tunga"/>
          <w:szCs w:val="24"/>
          <w:lang w:val="en-ZA"/>
        </w:rPr>
        <w:t>s</w:t>
      </w:r>
      <w:r w:rsidRPr="005140FC">
        <w:rPr>
          <w:rFonts w:ascii="Arial Narrow" w:hAnsi="Arial Narrow" w:cs="Tunga"/>
          <w:szCs w:val="24"/>
          <w:lang w:val="en-ZA"/>
        </w:rPr>
        <w:t xml:space="preserve"> below:</w:t>
      </w:r>
    </w:p>
    <w:p w14:paraId="165E04EA" w14:textId="77777777" w:rsidR="005140FC" w:rsidRPr="005140FC" w:rsidRDefault="005140FC" w:rsidP="005140FC">
      <w:pPr>
        <w:spacing w:after="0" w:line="240" w:lineRule="auto"/>
        <w:rPr>
          <w:rFonts w:ascii="Arial Narrow" w:hAnsi="Arial Narrow" w:cs="Tunga"/>
          <w:b/>
          <w:szCs w:val="24"/>
          <w:lang w:val="en-ZA"/>
        </w:rPr>
      </w:pPr>
    </w:p>
    <w:tbl>
      <w:tblPr>
        <w:tblW w:w="8900" w:type="dxa"/>
        <w:tblInd w:w="108" w:type="dxa"/>
        <w:tblLook w:val="04A0" w:firstRow="1" w:lastRow="0" w:firstColumn="1" w:lastColumn="0" w:noHBand="0" w:noVBand="1"/>
      </w:tblPr>
      <w:tblGrid>
        <w:gridCol w:w="4960"/>
        <w:gridCol w:w="1500"/>
        <w:gridCol w:w="2440"/>
      </w:tblGrid>
      <w:tr w:rsidR="004246AC" w:rsidRPr="005140FC" w14:paraId="77B0A501" w14:textId="77777777" w:rsidTr="00967A04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EF381C" w14:textId="77777777" w:rsidR="004246AC" w:rsidRDefault="004246A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ZA" w:eastAsia="en-Z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ZA" w:eastAsia="en-ZA"/>
              </w:rPr>
              <w:t>As at Financial Close in 2012/13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485F5E" w14:textId="77777777" w:rsidR="004246AC" w:rsidRPr="005140FC" w:rsidRDefault="004246A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7F60C7" w14:textId="77777777" w:rsidR="004246AC" w:rsidRPr="005140FC" w:rsidRDefault="004246A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5140FC" w:rsidRPr="005140FC" w14:paraId="2F426D0F" w14:textId="77777777" w:rsidTr="005140FC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B71B29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ZA" w:eastAsia="en-Z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ZA" w:eastAsia="en-ZA"/>
              </w:rPr>
              <w:t>BID WINDOW</w:t>
            </w:r>
            <w:r w:rsidRPr="005140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ZA" w:eastAsia="en-ZA"/>
              </w:rPr>
              <w:t>1 10 Highest Debt Providers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99E137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61D558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5140FC" w:rsidRPr="005140FC" w14:paraId="5EC007C3" w14:textId="77777777" w:rsidTr="005140FC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5E94FE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Lender Name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86A520" w14:textId="77777777" w:rsidR="005140FC" w:rsidRPr="005140FC" w:rsidRDefault="005140FC" w:rsidP="005140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Debt Amount (ZAR)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796FBA" w14:textId="77777777" w:rsidR="005140FC" w:rsidRPr="005140FC" w:rsidRDefault="005140FC" w:rsidP="005140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Debt Amount as a % of Total Debt for Bid Window</w:t>
            </w:r>
          </w:p>
        </w:tc>
      </w:tr>
      <w:tr w:rsidR="005140FC" w:rsidRPr="005140FC" w14:paraId="3EC8868B" w14:textId="77777777" w:rsidTr="005140F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B1D7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Standard Bank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2B19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8 237 096 287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1515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23.31%</w:t>
            </w:r>
          </w:p>
        </w:tc>
      </w:tr>
      <w:tr w:rsidR="005140FC" w:rsidRPr="005140FC" w14:paraId="304C82FF" w14:textId="77777777" w:rsidTr="005140F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5A04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First Rand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04EC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7 895 318 954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B7CA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22.34%</w:t>
            </w:r>
          </w:p>
        </w:tc>
      </w:tr>
      <w:tr w:rsidR="005140FC" w:rsidRPr="005140FC" w14:paraId="15C670ED" w14:textId="77777777" w:rsidTr="005140F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3679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DBSA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7E85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4 281 916 770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A7DB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12.12%</w:t>
            </w:r>
          </w:p>
        </w:tc>
      </w:tr>
      <w:tr w:rsidR="005140FC" w:rsidRPr="005140FC" w14:paraId="6E309277" w14:textId="77777777" w:rsidTr="005140F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EAF1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Nedbank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1E41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4 067 376 148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8372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11.51%</w:t>
            </w:r>
          </w:p>
        </w:tc>
      </w:tr>
      <w:tr w:rsidR="005140FC" w:rsidRPr="005140FC" w14:paraId="43459BCD" w14:textId="77777777" w:rsidTr="005140F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C834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Industrial Development Corporation (IDC)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5F29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2 670 049 828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93CB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7.55%</w:t>
            </w:r>
          </w:p>
        </w:tc>
      </w:tr>
      <w:tr w:rsidR="005140FC" w:rsidRPr="005140FC" w14:paraId="35AA1C81" w14:textId="77777777" w:rsidTr="005140F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E522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ABSA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2523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2 571 099 743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9D1B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7.27%</w:t>
            </w:r>
          </w:p>
        </w:tc>
      </w:tr>
      <w:tr w:rsidR="005140FC" w:rsidRPr="005140FC" w14:paraId="62A41C3F" w14:textId="77777777" w:rsidTr="005140F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58E7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Futuregrowth</w:t>
            </w:r>
            <w:proofErr w:type="spellEnd"/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Asset Management (Pty) Ltd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802A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1 575 182 997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BAD3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4.46%</w:t>
            </w:r>
          </w:p>
        </w:tc>
      </w:tr>
      <w:tr w:rsidR="005140FC" w:rsidRPr="005140FC" w14:paraId="2A20F405" w14:textId="77777777" w:rsidTr="005140F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96CB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International Finance Corporation (IFC)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D7E4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1 536 352 143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201F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4.35%</w:t>
            </w:r>
          </w:p>
        </w:tc>
      </w:tr>
      <w:tr w:rsidR="005140FC" w:rsidRPr="005140FC" w14:paraId="55DE6BC0" w14:textId="77777777" w:rsidTr="005140F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247B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European Investment Bank (EIB)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5328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   559 997 010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0284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1.58%</w:t>
            </w:r>
          </w:p>
        </w:tc>
      </w:tr>
      <w:tr w:rsidR="005140FC" w:rsidRPr="005140FC" w14:paraId="1C7F1E07" w14:textId="77777777" w:rsidTr="005140F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90DF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Old Mutual Specialised Finance (Pty) Ltd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98F9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   429 666 347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59C2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1.22%</w:t>
            </w:r>
          </w:p>
        </w:tc>
      </w:tr>
      <w:tr w:rsidR="005140FC" w:rsidRPr="005140FC" w14:paraId="5033FA07" w14:textId="77777777" w:rsidTr="005140FC">
        <w:trPr>
          <w:trHeight w:val="270"/>
        </w:trPr>
        <w:tc>
          <w:tcPr>
            <w:tcW w:w="49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3AFAF02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Total Debt for Bid Window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5D9CFF9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 35 342 134 277 </w:t>
            </w:r>
          </w:p>
        </w:tc>
        <w:tc>
          <w:tcPr>
            <w:tcW w:w="2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00C3AAD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5140FC" w:rsidRPr="005140FC" w14:paraId="6A732554" w14:textId="77777777" w:rsidTr="005140FC">
        <w:trPr>
          <w:trHeight w:val="27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D00E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B068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616A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A" w:eastAsia="en-ZA"/>
              </w:rPr>
            </w:pPr>
          </w:p>
        </w:tc>
      </w:tr>
      <w:tr w:rsidR="004246AC" w:rsidRPr="005140FC" w14:paraId="338B2571" w14:textId="77777777" w:rsidTr="00967A04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6BF13D" w14:textId="77777777" w:rsidR="004246AC" w:rsidRDefault="004246A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ZA" w:eastAsia="en-Z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ZA" w:eastAsia="en-ZA"/>
              </w:rPr>
              <w:t>As at Financial Close in 2013/14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129650" w14:textId="77777777" w:rsidR="004246AC" w:rsidRPr="005140FC" w:rsidRDefault="004246A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1D5D24" w14:textId="77777777" w:rsidR="004246AC" w:rsidRPr="005140FC" w:rsidRDefault="004246A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5140FC" w:rsidRPr="005140FC" w14:paraId="5373A9CF" w14:textId="77777777" w:rsidTr="005140FC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282116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ZA" w:eastAsia="en-Z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ZA" w:eastAsia="en-ZA"/>
              </w:rPr>
              <w:t>BID WINDOW</w:t>
            </w:r>
            <w:r w:rsidRPr="005140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ZA" w:eastAsia="en-ZA"/>
              </w:rPr>
              <w:t>2 10 Highest Debt Providers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8A3C4F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386B28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5140FC" w:rsidRPr="005140FC" w14:paraId="243BF68C" w14:textId="77777777" w:rsidTr="005140FC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464098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Lender Name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28CB40" w14:textId="77777777" w:rsidR="005140FC" w:rsidRPr="005140FC" w:rsidRDefault="005140FC" w:rsidP="005140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Debt Amount (ZAR)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0A53C2" w14:textId="77777777" w:rsidR="005140FC" w:rsidRPr="005140FC" w:rsidRDefault="005140FC" w:rsidP="005140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Debt Amount as a % of Total Debt for Bid Window</w:t>
            </w:r>
          </w:p>
        </w:tc>
      </w:tr>
      <w:tr w:rsidR="005140FC" w:rsidRPr="005140FC" w14:paraId="1A829D23" w14:textId="77777777" w:rsidTr="005140F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0DC3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Standard Bank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AE75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5 432 949 856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9652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21.83%</w:t>
            </w:r>
          </w:p>
        </w:tc>
      </w:tr>
      <w:tr w:rsidR="005140FC" w:rsidRPr="005140FC" w14:paraId="62EF8FFF" w14:textId="77777777" w:rsidTr="005140F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F6EC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Nedbank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7FD7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5 039 054 480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5F94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20.25%</w:t>
            </w:r>
          </w:p>
        </w:tc>
      </w:tr>
      <w:tr w:rsidR="005140FC" w:rsidRPr="005140FC" w14:paraId="4CC566CF" w14:textId="77777777" w:rsidTr="005140F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24AC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First Rand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97B3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2 843 107 340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973A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11.43%</w:t>
            </w:r>
          </w:p>
        </w:tc>
      </w:tr>
      <w:tr w:rsidR="005140FC" w:rsidRPr="005140FC" w14:paraId="12A7595A" w14:textId="77777777" w:rsidTr="005140F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EBC4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Investec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8C81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2 773 188 458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0396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11.14%</w:t>
            </w:r>
          </w:p>
        </w:tc>
      </w:tr>
      <w:tr w:rsidR="005140FC" w:rsidRPr="005140FC" w14:paraId="0D883989" w14:textId="77777777" w:rsidTr="005140F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8C97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ABSA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4DDA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2 519 159 962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8B98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10.12%</w:t>
            </w:r>
          </w:p>
        </w:tc>
      </w:tr>
      <w:tr w:rsidR="005140FC" w:rsidRPr="005140FC" w14:paraId="305A8D67" w14:textId="77777777" w:rsidTr="005140F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0527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OPIC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6E7B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1 856 142 000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18D5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7.46%</w:t>
            </w:r>
          </w:p>
        </w:tc>
      </w:tr>
      <w:tr w:rsidR="005140FC" w:rsidRPr="005140FC" w14:paraId="20981953" w14:textId="77777777" w:rsidTr="005140F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8329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IDC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6E19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1 770 061 231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8363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7.11%</w:t>
            </w:r>
          </w:p>
        </w:tc>
      </w:tr>
      <w:tr w:rsidR="005140FC" w:rsidRPr="005140FC" w14:paraId="5A8455E5" w14:textId="77777777" w:rsidTr="005140F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4D03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IFC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26FC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1 002 696 553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628C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4.03%</w:t>
            </w:r>
          </w:p>
        </w:tc>
      </w:tr>
      <w:tr w:rsidR="005140FC" w:rsidRPr="005140FC" w14:paraId="34E63CB3" w14:textId="77777777" w:rsidTr="005140F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2582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ACWA Power Africa Holding Proprietary Limited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B49C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   593 851 725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89FA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2.39%</w:t>
            </w:r>
          </w:p>
        </w:tc>
      </w:tr>
      <w:tr w:rsidR="005140FC" w:rsidRPr="005140FC" w14:paraId="41DF0BA9" w14:textId="77777777" w:rsidTr="005140F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62AF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Futuregrowth</w:t>
            </w:r>
            <w:proofErr w:type="spellEnd"/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Asset Management (Pty) Ltd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D49A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   580 136 986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E9B2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2.33%</w:t>
            </w:r>
          </w:p>
        </w:tc>
      </w:tr>
      <w:tr w:rsidR="005140FC" w:rsidRPr="005140FC" w14:paraId="79A22E30" w14:textId="77777777" w:rsidTr="005140FC">
        <w:trPr>
          <w:trHeight w:val="270"/>
        </w:trPr>
        <w:tc>
          <w:tcPr>
            <w:tcW w:w="49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4CF1C80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Total Debt for Bid Window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88526A1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 24 882 921 841 </w:t>
            </w:r>
          </w:p>
        </w:tc>
        <w:tc>
          <w:tcPr>
            <w:tcW w:w="2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727B6F1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5140FC" w:rsidRPr="005140FC" w14:paraId="62FFE25D" w14:textId="77777777" w:rsidTr="005140FC">
        <w:trPr>
          <w:trHeight w:val="27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E431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1645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598A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A" w:eastAsia="en-ZA"/>
              </w:rPr>
            </w:pPr>
          </w:p>
        </w:tc>
      </w:tr>
      <w:tr w:rsidR="004246AC" w:rsidRPr="005140FC" w14:paraId="3948C7C1" w14:textId="77777777" w:rsidTr="00967A04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9C04E5" w14:textId="77777777" w:rsidR="004246AC" w:rsidRDefault="004246A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ZA" w:eastAsia="en-Z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ZA" w:eastAsia="en-ZA"/>
              </w:rPr>
              <w:t>As at Financial Close in 2014/15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748961" w14:textId="77777777" w:rsidR="004246AC" w:rsidRPr="005140FC" w:rsidRDefault="004246A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C70CF4" w14:textId="77777777" w:rsidR="004246AC" w:rsidRPr="005140FC" w:rsidRDefault="004246A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5140FC" w:rsidRPr="005140FC" w14:paraId="32282364" w14:textId="77777777" w:rsidTr="005140FC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240C28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ZA" w:eastAsia="en-Z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ZA" w:eastAsia="en-ZA"/>
              </w:rPr>
              <w:t>BID WINDOW</w:t>
            </w:r>
            <w:r w:rsidRPr="005140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ZA" w:eastAsia="en-ZA"/>
              </w:rPr>
              <w:t>3 10 Highest Debt Providers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F33A97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1B8773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5140FC" w:rsidRPr="005140FC" w14:paraId="6035A257" w14:textId="77777777" w:rsidTr="005140FC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E27A49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Lender Name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7A1CE2" w14:textId="77777777" w:rsidR="005140FC" w:rsidRPr="005140FC" w:rsidRDefault="005140FC" w:rsidP="005140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Debt Amount (ZAR)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B2E630" w14:textId="77777777" w:rsidR="005140FC" w:rsidRPr="005140FC" w:rsidRDefault="005140FC" w:rsidP="005140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Debt Amount as a % of Total Debt for Bid Window</w:t>
            </w:r>
          </w:p>
        </w:tc>
      </w:tr>
      <w:tr w:rsidR="005140FC" w:rsidRPr="005140FC" w14:paraId="5327CE4F" w14:textId="77777777" w:rsidTr="005140F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DAD2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ABSA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5D64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7 760 452 670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9A85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26.37%</w:t>
            </w:r>
          </w:p>
        </w:tc>
      </w:tr>
      <w:tr w:rsidR="005140FC" w:rsidRPr="005140FC" w14:paraId="0FABAF9E" w14:textId="77777777" w:rsidTr="005140F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9F6A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Nedbank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82DF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6 357 378 727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64ED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21.60%</w:t>
            </w:r>
          </w:p>
        </w:tc>
      </w:tr>
      <w:tr w:rsidR="005140FC" w:rsidRPr="005140FC" w14:paraId="61DA3633" w14:textId="77777777" w:rsidTr="005140F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0841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DBSA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86DE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4 010 761 713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EA01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13.63%</w:t>
            </w:r>
          </w:p>
        </w:tc>
      </w:tr>
      <w:tr w:rsidR="005140FC" w:rsidRPr="005140FC" w14:paraId="7607316F" w14:textId="77777777" w:rsidTr="005140F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3CE4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IDC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9BB2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3 961 310 502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BD3A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13.46%</w:t>
            </w:r>
          </w:p>
        </w:tc>
      </w:tr>
      <w:tr w:rsidR="005140FC" w:rsidRPr="005140FC" w14:paraId="3F4315A2" w14:textId="77777777" w:rsidTr="005140F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6796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First Rand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AD7F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2 247 899 802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D055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7.64%</w:t>
            </w:r>
          </w:p>
        </w:tc>
      </w:tr>
      <w:tr w:rsidR="005140FC" w:rsidRPr="005140FC" w14:paraId="567B22C9" w14:textId="77777777" w:rsidTr="005140F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D001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Standard Bank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7C45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1 828 866 461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4EF7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6.21%</w:t>
            </w:r>
          </w:p>
        </w:tc>
      </w:tr>
      <w:tr w:rsidR="005140FC" w:rsidRPr="005140FC" w14:paraId="6B2CB43C" w14:textId="77777777" w:rsidTr="005140F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56AE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AfDB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2D00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1 377 175 767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2008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4.68%</w:t>
            </w:r>
          </w:p>
        </w:tc>
      </w:tr>
      <w:tr w:rsidR="005140FC" w:rsidRPr="005140FC" w14:paraId="6C0F244F" w14:textId="77777777" w:rsidTr="005140F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6021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Public Investment Corporation (PIC)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8F0E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   599 997 500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E759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2.04%</w:t>
            </w:r>
          </w:p>
        </w:tc>
      </w:tr>
      <w:tr w:rsidR="005140FC" w:rsidRPr="005140FC" w14:paraId="22518EBC" w14:textId="77777777" w:rsidTr="005140F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E8F5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Investec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B508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   527 905 939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A5F6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1.79%</w:t>
            </w:r>
          </w:p>
        </w:tc>
      </w:tr>
      <w:tr w:rsidR="005140FC" w:rsidRPr="005140FC" w14:paraId="4B2DEB82" w14:textId="77777777" w:rsidTr="005140F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76E6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IFC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1CAA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   455 418 678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67B3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1.55%</w:t>
            </w:r>
          </w:p>
        </w:tc>
      </w:tr>
      <w:tr w:rsidR="005140FC" w:rsidRPr="005140FC" w14:paraId="735E127E" w14:textId="77777777" w:rsidTr="005140FC">
        <w:trPr>
          <w:trHeight w:val="270"/>
        </w:trPr>
        <w:tc>
          <w:tcPr>
            <w:tcW w:w="49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BB0BDE2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Total Debt for Bid Window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67150E9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 29 427 167 759 </w:t>
            </w:r>
          </w:p>
        </w:tc>
        <w:tc>
          <w:tcPr>
            <w:tcW w:w="2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439AAE6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4246AC" w:rsidRPr="005140FC" w14:paraId="6FE42C95" w14:textId="77777777" w:rsidTr="00967A04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E1A167" w14:textId="77777777" w:rsidR="00A80DAE" w:rsidRDefault="00A80DAE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ZA" w:eastAsia="en-ZA"/>
              </w:rPr>
            </w:pPr>
          </w:p>
          <w:p w14:paraId="40F9C61B" w14:textId="77777777" w:rsidR="00A80DAE" w:rsidRDefault="00A80DAE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ZA" w:eastAsia="en-ZA"/>
              </w:rPr>
            </w:pPr>
          </w:p>
          <w:p w14:paraId="256BFCEE" w14:textId="30FA44A0" w:rsidR="004246AC" w:rsidRDefault="004246A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ZA" w:eastAsia="en-Z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ZA" w:eastAsia="en-ZA"/>
              </w:rPr>
              <w:t>As at Financial Close in 2016/17</w:t>
            </w:r>
            <w:r w:rsidR="00B14B08">
              <w:rPr>
                <w:rStyle w:val="FootnoteReference"/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ZA" w:eastAsia="en-ZA"/>
              </w:rPr>
              <w:footnoteReference w:id="2"/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D2FA32" w14:textId="77777777" w:rsidR="004246AC" w:rsidRPr="005140FC" w:rsidRDefault="004246A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D531CC" w14:textId="77777777" w:rsidR="004246AC" w:rsidRPr="005140FC" w:rsidRDefault="004246A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5140FC" w:rsidRPr="005140FC" w14:paraId="550C2C17" w14:textId="77777777" w:rsidTr="005140FC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8F494A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ZA" w:eastAsia="en-Z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ZA" w:eastAsia="en-ZA"/>
              </w:rPr>
              <w:t>BID WINDOW</w:t>
            </w:r>
            <w:r w:rsidRPr="005140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ZA" w:eastAsia="en-ZA"/>
              </w:rPr>
              <w:t>3.5 10 Highest Debt Providers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FB6AC8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3C5EC4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5140FC" w:rsidRPr="005140FC" w14:paraId="5D4F40C3" w14:textId="77777777" w:rsidTr="005140FC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04529C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Lender Name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E205DB" w14:textId="77777777" w:rsidR="005140FC" w:rsidRPr="005140FC" w:rsidRDefault="005140FC" w:rsidP="005140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Debt Amount (ZAR)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07A4EF" w14:textId="77777777" w:rsidR="005140FC" w:rsidRPr="005140FC" w:rsidRDefault="005140FC" w:rsidP="005140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Debt Amount as a % of Total Debt for Bid Window</w:t>
            </w:r>
          </w:p>
        </w:tc>
      </w:tr>
      <w:tr w:rsidR="005140FC" w:rsidRPr="005140FC" w14:paraId="04146BD3" w14:textId="77777777" w:rsidTr="005140F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4DCF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Nedbank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D74A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3 151 216 167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0A9A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21.35%</w:t>
            </w:r>
          </w:p>
        </w:tc>
      </w:tr>
      <w:tr w:rsidR="005140FC" w:rsidRPr="005140FC" w14:paraId="0303BFAE" w14:textId="77777777" w:rsidTr="005140F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21C5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First Rand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4B2C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2 000 000 000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B133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13.55%</w:t>
            </w:r>
          </w:p>
        </w:tc>
      </w:tr>
      <w:tr w:rsidR="005140FC" w:rsidRPr="005140FC" w14:paraId="016F632E" w14:textId="77777777" w:rsidTr="005140F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3AFF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Investec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18BC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1 596 057 123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DBCE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10.81%</w:t>
            </w:r>
          </w:p>
        </w:tc>
      </w:tr>
      <w:tr w:rsidR="005140FC" w:rsidRPr="005140FC" w14:paraId="18726A82" w14:textId="77777777" w:rsidTr="005140F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7A0F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ABSA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5A95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1 593 984 531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CFE6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10.80%</w:t>
            </w:r>
          </w:p>
        </w:tc>
      </w:tr>
      <w:tr w:rsidR="005140FC" w:rsidRPr="005140FC" w14:paraId="2C811603" w14:textId="77777777" w:rsidTr="005140F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C501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DBSA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B803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1 524 904 751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46A6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10.33%</w:t>
            </w:r>
          </w:p>
        </w:tc>
      </w:tr>
      <w:tr w:rsidR="005140FC" w:rsidRPr="005140FC" w14:paraId="3804407B" w14:textId="77777777" w:rsidTr="005140F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4468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Standard Bank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4963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1 500 000 000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1B54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10.16%</w:t>
            </w:r>
          </w:p>
        </w:tc>
      </w:tr>
      <w:tr w:rsidR="005140FC" w:rsidRPr="005140FC" w14:paraId="1596439B" w14:textId="77777777" w:rsidTr="005140F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75CB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proofErr w:type="spellStart"/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KfW</w:t>
            </w:r>
            <w:proofErr w:type="spellEnd"/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IPEX Bank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AEAE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   972 000 000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436B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6.58%</w:t>
            </w:r>
          </w:p>
        </w:tc>
      </w:tr>
      <w:tr w:rsidR="005140FC" w:rsidRPr="005140FC" w14:paraId="412D0332" w14:textId="77777777" w:rsidTr="005140F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3BCB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IFC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B436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   709 920 000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50CF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4.81%</w:t>
            </w:r>
          </w:p>
        </w:tc>
      </w:tr>
      <w:tr w:rsidR="005140FC" w:rsidRPr="005140FC" w14:paraId="377889DD" w14:textId="77777777" w:rsidTr="005140F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6183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Credit </w:t>
            </w:r>
            <w:proofErr w:type="spellStart"/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Agricole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E251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   493 000 000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FD7E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3.34%</w:t>
            </w:r>
          </w:p>
        </w:tc>
      </w:tr>
      <w:tr w:rsidR="005140FC" w:rsidRPr="005140FC" w14:paraId="4FE18724" w14:textId="77777777" w:rsidTr="005140F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BAE1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Natixis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0A2E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   493 000 000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4248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3.34%</w:t>
            </w:r>
          </w:p>
        </w:tc>
      </w:tr>
      <w:tr w:rsidR="005140FC" w:rsidRPr="005140FC" w14:paraId="5FD74D56" w14:textId="77777777" w:rsidTr="005140FC">
        <w:trPr>
          <w:trHeight w:val="270"/>
        </w:trPr>
        <w:tc>
          <w:tcPr>
            <w:tcW w:w="49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A0A58C1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Total Debt for Bid Window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9FBB470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 14 760 963 517 </w:t>
            </w:r>
          </w:p>
        </w:tc>
        <w:tc>
          <w:tcPr>
            <w:tcW w:w="2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845FBBC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5140FC" w:rsidRPr="005140FC" w14:paraId="50378188" w14:textId="77777777" w:rsidTr="005140FC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C79D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val="en-ZA" w:eastAsia="en-Z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B709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CEC6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val="en-ZA" w:eastAsia="en-ZA"/>
              </w:rPr>
            </w:pPr>
          </w:p>
        </w:tc>
      </w:tr>
      <w:tr w:rsidR="004246AC" w:rsidRPr="005140FC" w14:paraId="468C8F73" w14:textId="77777777" w:rsidTr="00967A04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712521" w14:textId="77777777" w:rsidR="004246AC" w:rsidRDefault="004246A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ZA" w:eastAsia="en-Z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ZA" w:eastAsia="en-ZA"/>
              </w:rPr>
              <w:t>As at Financial Close in 2018/19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AA6451" w14:textId="77777777" w:rsidR="004246AC" w:rsidRPr="005140FC" w:rsidRDefault="004246A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D73EAE" w14:textId="77777777" w:rsidR="004246AC" w:rsidRPr="005140FC" w:rsidRDefault="004246A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5140FC" w:rsidRPr="005140FC" w14:paraId="321FF091" w14:textId="77777777" w:rsidTr="005140FC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67FA88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ZA" w:eastAsia="en-ZA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ZA" w:eastAsia="en-ZA"/>
              </w:rPr>
              <w:t>BID WINDOW</w:t>
            </w:r>
            <w:r w:rsidRPr="005140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n-ZA" w:eastAsia="en-ZA"/>
              </w:rPr>
              <w:t>4 10 Highest Debt Providers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02FF62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0C337C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5140FC" w:rsidRPr="005140FC" w14:paraId="079EA6D4" w14:textId="77777777" w:rsidTr="005140FC">
        <w:trPr>
          <w:trHeight w:val="51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5CC052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Lender Name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4AD4DF" w14:textId="77777777" w:rsidR="005140FC" w:rsidRPr="005140FC" w:rsidRDefault="005140FC" w:rsidP="005140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Debt Amount (ZAR)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D522A4" w14:textId="77777777" w:rsidR="005140FC" w:rsidRPr="005140FC" w:rsidRDefault="005140FC" w:rsidP="005140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Debt Amount as a % of Total Debt for Bid Window</w:t>
            </w:r>
          </w:p>
        </w:tc>
      </w:tr>
      <w:tr w:rsidR="005140FC" w:rsidRPr="005140FC" w14:paraId="22C8F449" w14:textId="77777777" w:rsidTr="005140F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BDCC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ABSA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3073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11 694 541 538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70A3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27.71%</w:t>
            </w:r>
          </w:p>
        </w:tc>
      </w:tr>
      <w:tr w:rsidR="005140FC" w:rsidRPr="005140FC" w14:paraId="254D827A" w14:textId="77777777" w:rsidTr="005140F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4A8C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Nedbank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8EEA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10 118 303 081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675F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23.97%</w:t>
            </w:r>
          </w:p>
        </w:tc>
      </w:tr>
      <w:tr w:rsidR="005140FC" w:rsidRPr="005140FC" w14:paraId="6F52BDB5" w14:textId="77777777" w:rsidTr="005140F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496E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DBSA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C2E7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3 903 391 534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C567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9.25%</w:t>
            </w:r>
          </w:p>
        </w:tc>
      </w:tr>
      <w:tr w:rsidR="005140FC" w:rsidRPr="005140FC" w14:paraId="02EEEEE3" w14:textId="77777777" w:rsidTr="005140F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B8EC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Standard Bank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0C6D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3 840 688 425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9181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9.10%</w:t>
            </w:r>
          </w:p>
        </w:tc>
      </w:tr>
      <w:tr w:rsidR="005140FC" w:rsidRPr="005140FC" w14:paraId="7484EF68" w14:textId="77777777" w:rsidTr="005140F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38F5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Old Mutual Specialised Finance (Pty) Ltd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D537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3 681 073 341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7107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8.72%</w:t>
            </w:r>
          </w:p>
        </w:tc>
      </w:tr>
      <w:tr w:rsidR="005140FC" w:rsidRPr="005140FC" w14:paraId="1B05430B" w14:textId="77777777" w:rsidTr="005140F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6F21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First Rand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12B1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2 938 683 301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D1A3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6.96%</w:t>
            </w:r>
          </w:p>
        </w:tc>
      </w:tr>
      <w:tr w:rsidR="005140FC" w:rsidRPr="005140FC" w14:paraId="513A0221" w14:textId="77777777" w:rsidTr="005140F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B4F8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Vantage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5BDF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2 561 333 993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4250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6.07%</w:t>
            </w:r>
          </w:p>
        </w:tc>
      </w:tr>
      <w:tr w:rsidR="005140FC" w:rsidRPr="005140FC" w14:paraId="6EBD85B7" w14:textId="77777777" w:rsidTr="005140F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8AA0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Investec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DF69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   713 611 516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9D55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1.69%</w:t>
            </w:r>
          </w:p>
        </w:tc>
      </w:tr>
      <w:tr w:rsidR="005140FC" w:rsidRPr="005140FC" w14:paraId="59AC18A3" w14:textId="77777777" w:rsidTr="005140F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B463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Liberty Group Limited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445C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   600 000 000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43C7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1.42%</w:t>
            </w:r>
          </w:p>
        </w:tc>
      </w:tr>
      <w:tr w:rsidR="005140FC" w:rsidRPr="005140FC" w14:paraId="252F9EC4" w14:textId="77777777" w:rsidTr="005140FC">
        <w:trPr>
          <w:trHeight w:val="255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FC0F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Sanlam Capital Markets Ltd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92EE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 xml:space="preserve">       600 000 000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993E" w14:textId="77777777" w:rsidR="005140FC" w:rsidRPr="005140FC" w:rsidRDefault="005140FC" w:rsidP="005140F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ZA" w:eastAsia="en-ZA"/>
              </w:rPr>
              <w:t>1.42%</w:t>
            </w:r>
          </w:p>
        </w:tc>
      </w:tr>
      <w:tr w:rsidR="005140FC" w:rsidRPr="005140FC" w14:paraId="10F466B5" w14:textId="77777777" w:rsidTr="005140FC">
        <w:trPr>
          <w:trHeight w:val="270"/>
        </w:trPr>
        <w:tc>
          <w:tcPr>
            <w:tcW w:w="49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EEA845E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Total Debt for Bid Window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5E4E8B4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 42 209 452 546 </w:t>
            </w:r>
          </w:p>
        </w:tc>
        <w:tc>
          <w:tcPr>
            <w:tcW w:w="2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9C04A6F" w14:textId="77777777" w:rsidR="005140FC" w:rsidRPr="005140FC" w:rsidRDefault="005140FC" w:rsidP="005140F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5140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</w:tbl>
    <w:p w14:paraId="0B14F431" w14:textId="77777777" w:rsidR="005140FC" w:rsidRPr="005140FC" w:rsidRDefault="005140FC" w:rsidP="005140FC">
      <w:pPr>
        <w:spacing w:after="0" w:line="240" w:lineRule="auto"/>
        <w:rPr>
          <w:rFonts w:ascii="Arial Narrow" w:hAnsi="Arial Narrow" w:cs="Tunga"/>
          <w:szCs w:val="24"/>
          <w:lang w:val="en-ZA"/>
        </w:rPr>
      </w:pPr>
    </w:p>
    <w:sectPr w:rsidR="005140FC" w:rsidRPr="005140FC" w:rsidSect="00B14B08">
      <w:footerReference w:type="default" r:id="rId10"/>
      <w:pgSz w:w="12240" w:h="15840"/>
      <w:pgMar w:top="1080" w:right="1183" w:bottom="568" w:left="1440" w:header="720" w:footer="30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D3C538" w15:done="0"/>
  <w15:commentEx w15:paraId="1341EBF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FCE91" w14:textId="77777777" w:rsidR="00B7363C" w:rsidRDefault="00B7363C" w:rsidP="00E149A9">
      <w:pPr>
        <w:spacing w:after="0" w:line="240" w:lineRule="auto"/>
      </w:pPr>
      <w:r>
        <w:separator/>
      </w:r>
    </w:p>
  </w:endnote>
  <w:endnote w:type="continuationSeparator" w:id="0">
    <w:p w14:paraId="4D55FB9C" w14:textId="77777777" w:rsidR="00B7363C" w:rsidRDefault="00B7363C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59DE5" w14:textId="77777777" w:rsidR="004B3AD2" w:rsidRDefault="004B3AD2">
    <w:pPr>
      <w:pStyle w:val="Footer"/>
      <w:rPr>
        <w:lang w:val="en-US"/>
      </w:rPr>
    </w:pPr>
  </w:p>
  <w:p w14:paraId="13176244" w14:textId="77777777" w:rsidR="004B3AD2" w:rsidRPr="00B85542" w:rsidRDefault="004B3AD2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EDD8E" w14:textId="77777777" w:rsidR="00B7363C" w:rsidRDefault="00B7363C" w:rsidP="00E149A9">
      <w:pPr>
        <w:spacing w:after="0" w:line="240" w:lineRule="auto"/>
      </w:pPr>
      <w:r>
        <w:separator/>
      </w:r>
    </w:p>
  </w:footnote>
  <w:footnote w:type="continuationSeparator" w:id="0">
    <w:p w14:paraId="739C8500" w14:textId="77777777" w:rsidR="00B7363C" w:rsidRDefault="00B7363C" w:rsidP="00E149A9">
      <w:pPr>
        <w:spacing w:after="0" w:line="240" w:lineRule="auto"/>
      </w:pPr>
      <w:r>
        <w:continuationSeparator/>
      </w:r>
    </w:p>
  </w:footnote>
  <w:footnote w:id="1">
    <w:p w14:paraId="19EDF21F" w14:textId="20D8DE89" w:rsidR="00B14B08" w:rsidRPr="00B14B08" w:rsidRDefault="00B14B08" w:rsidP="00B14B08">
      <w:pPr>
        <w:pStyle w:val="CommentText"/>
      </w:pPr>
      <w:r>
        <w:rPr>
          <w:rStyle w:val="FootnoteReference"/>
        </w:rPr>
        <w:footnoteRef/>
      </w:r>
      <w:r>
        <w:t xml:space="preserve"> </w:t>
      </w:r>
      <w:r>
        <w:rPr>
          <w:rStyle w:val="CommentReference"/>
        </w:rPr>
        <w:t/>
      </w:r>
      <w:r w:rsidRPr="00B14B08">
        <w:rPr>
          <w:rStyle w:val="CommentReference"/>
          <w:rFonts w:ascii="Arial Narrow" w:hAnsi="Arial Narrow"/>
          <w:sz w:val="14"/>
          <w:szCs w:val="14"/>
        </w:rPr>
        <w:t xml:space="preserve">The last remaining BW3.5 project Redstone has not reached Financial Close and </w:t>
      </w:r>
      <w:proofErr w:type="gramStart"/>
      <w:r w:rsidRPr="00B14B08">
        <w:rPr>
          <w:rStyle w:val="CommentReference"/>
          <w:rFonts w:ascii="Arial Narrow" w:hAnsi="Arial Narrow"/>
          <w:sz w:val="14"/>
          <w:szCs w:val="14"/>
        </w:rPr>
        <w:t>is expected</w:t>
      </w:r>
      <w:proofErr w:type="gramEnd"/>
      <w:r w:rsidRPr="00B14B08">
        <w:rPr>
          <w:rStyle w:val="CommentReference"/>
          <w:rFonts w:ascii="Arial Narrow" w:hAnsi="Arial Narrow"/>
          <w:sz w:val="14"/>
          <w:szCs w:val="14"/>
        </w:rPr>
        <w:t xml:space="preserve"> to reach Financial Close in Apr 2019. Until FC </w:t>
      </w:r>
      <w:proofErr w:type="gramStart"/>
      <w:r w:rsidRPr="00B14B08">
        <w:rPr>
          <w:rStyle w:val="CommentReference"/>
          <w:rFonts w:ascii="Arial Narrow" w:hAnsi="Arial Narrow"/>
          <w:sz w:val="14"/>
          <w:szCs w:val="14"/>
        </w:rPr>
        <w:t>is reached</w:t>
      </w:r>
      <w:proofErr w:type="gramEnd"/>
      <w:r w:rsidRPr="00B14B08">
        <w:rPr>
          <w:rStyle w:val="CommentReference"/>
          <w:rFonts w:ascii="Arial Narrow" w:hAnsi="Arial Narrow"/>
          <w:sz w:val="14"/>
          <w:szCs w:val="14"/>
        </w:rPr>
        <w:t>, only Bid Submission figures are available</w:t>
      </w:r>
      <w:r w:rsidRPr="00B14B08">
        <w:rPr>
          <w:rFonts w:ascii="Arial Narrow" w:hAnsi="Arial Narrow"/>
          <w:sz w:val="14"/>
          <w:szCs w:val="14"/>
        </w:rPr>
        <w:t>.</w:t>
      </w:r>
    </w:p>
  </w:footnote>
  <w:footnote w:id="2">
    <w:p w14:paraId="0C276C9E" w14:textId="34A206CC" w:rsidR="00B14B08" w:rsidRPr="00B14B08" w:rsidRDefault="00B14B08" w:rsidP="00B14B08">
      <w:pPr>
        <w:pStyle w:val="CommentText"/>
        <w:rPr>
          <w:rFonts w:ascii="Arial Narrow" w:hAnsi="Arial Narrow"/>
          <w:sz w:val="14"/>
          <w:szCs w:val="14"/>
        </w:rPr>
      </w:pPr>
      <w:r>
        <w:rPr>
          <w:rStyle w:val="FootnoteReference"/>
        </w:rPr>
        <w:footnoteRef/>
      </w:r>
      <w:r>
        <w:t xml:space="preserve"> </w:t>
      </w:r>
      <w:r w:rsidRPr="00B14B08">
        <w:rPr>
          <w:rFonts w:ascii="Arial Narrow" w:hAnsi="Arial Narrow"/>
          <w:sz w:val="14"/>
          <w:szCs w:val="14"/>
        </w:rPr>
        <w:t xml:space="preserve">The last remaining BW3.5 project Redstone has not reached Financial Close and </w:t>
      </w:r>
      <w:proofErr w:type="gramStart"/>
      <w:r w:rsidRPr="00B14B08">
        <w:rPr>
          <w:rFonts w:ascii="Arial Narrow" w:hAnsi="Arial Narrow"/>
          <w:sz w:val="14"/>
          <w:szCs w:val="14"/>
        </w:rPr>
        <w:t>is expected</w:t>
      </w:r>
      <w:proofErr w:type="gramEnd"/>
      <w:r w:rsidRPr="00B14B08">
        <w:rPr>
          <w:rFonts w:ascii="Arial Narrow" w:hAnsi="Arial Narrow"/>
          <w:sz w:val="14"/>
          <w:szCs w:val="14"/>
        </w:rPr>
        <w:t xml:space="preserve"> to reach Financial Close in Apr 2019. Until FC is </w:t>
      </w:r>
      <w:proofErr w:type="gramStart"/>
      <w:r w:rsidRPr="00B14B08">
        <w:rPr>
          <w:rFonts w:ascii="Arial Narrow" w:hAnsi="Arial Narrow"/>
          <w:sz w:val="14"/>
          <w:szCs w:val="14"/>
        </w:rPr>
        <w:t>reached</w:t>
      </w:r>
      <w:proofErr w:type="gramEnd"/>
      <w:r w:rsidRPr="00B14B08">
        <w:rPr>
          <w:rFonts w:ascii="Arial Narrow" w:hAnsi="Arial Narrow"/>
          <w:sz w:val="14"/>
          <w:szCs w:val="14"/>
        </w:rPr>
        <w:t xml:space="preserve"> only Bid Submission figures are available.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93E7B"/>
    <w:multiLevelType w:val="hybridMultilevel"/>
    <w:tmpl w:val="0A083DB4"/>
    <w:lvl w:ilvl="0" w:tplc="053C26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3762B6"/>
    <w:multiLevelType w:val="hybridMultilevel"/>
    <w:tmpl w:val="0EA8AA26"/>
    <w:lvl w:ilvl="0" w:tplc="364423BA">
      <w:start w:val="1"/>
      <w:numFmt w:val="decimal"/>
      <w:lvlText w:val="(%1)"/>
      <w:lvlJc w:val="left"/>
      <w:pPr>
        <w:ind w:left="2160" w:hanging="144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F86DE2"/>
    <w:multiLevelType w:val="hybridMultilevel"/>
    <w:tmpl w:val="AFC82F16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heem F. Essop">
    <w15:presenceInfo w15:providerId="AD" w15:userId="S-1-5-21-118379295-1669110965-3120700073-20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activeWritingStyle w:appName="MSWord" w:lang="fr-FR" w:vendorID="64" w:dllVersion="131078" w:nlCheck="1" w:checkStyle="0"/>
  <w:activeWritingStyle w:appName="MSWord" w:lang="en-ZA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2F9F"/>
    <w:rsid w:val="00010FB5"/>
    <w:rsid w:val="00012662"/>
    <w:rsid w:val="00013C1A"/>
    <w:rsid w:val="000141B1"/>
    <w:rsid w:val="00020027"/>
    <w:rsid w:val="00021AB8"/>
    <w:rsid w:val="00024D0F"/>
    <w:rsid w:val="000321DC"/>
    <w:rsid w:val="00036E81"/>
    <w:rsid w:val="00036FD3"/>
    <w:rsid w:val="000410D5"/>
    <w:rsid w:val="00041B1A"/>
    <w:rsid w:val="00041F67"/>
    <w:rsid w:val="00046FF4"/>
    <w:rsid w:val="000555B2"/>
    <w:rsid w:val="000558CE"/>
    <w:rsid w:val="00056840"/>
    <w:rsid w:val="00057941"/>
    <w:rsid w:val="000611D8"/>
    <w:rsid w:val="0007031E"/>
    <w:rsid w:val="000707C5"/>
    <w:rsid w:val="000744F8"/>
    <w:rsid w:val="00074948"/>
    <w:rsid w:val="000773B2"/>
    <w:rsid w:val="00086C72"/>
    <w:rsid w:val="00087002"/>
    <w:rsid w:val="00090018"/>
    <w:rsid w:val="00091E83"/>
    <w:rsid w:val="0009500E"/>
    <w:rsid w:val="00096EE7"/>
    <w:rsid w:val="000973A2"/>
    <w:rsid w:val="000A245C"/>
    <w:rsid w:val="000B189D"/>
    <w:rsid w:val="000B2A4E"/>
    <w:rsid w:val="000B73EE"/>
    <w:rsid w:val="000C145D"/>
    <w:rsid w:val="000C4885"/>
    <w:rsid w:val="000C6359"/>
    <w:rsid w:val="000C6B01"/>
    <w:rsid w:val="000E1095"/>
    <w:rsid w:val="000E1816"/>
    <w:rsid w:val="000E1F81"/>
    <w:rsid w:val="000E21DF"/>
    <w:rsid w:val="000E32A5"/>
    <w:rsid w:val="000E6711"/>
    <w:rsid w:val="000E6B91"/>
    <w:rsid w:val="000F0FA7"/>
    <w:rsid w:val="000F29A6"/>
    <w:rsid w:val="000F32FB"/>
    <w:rsid w:val="000F6EE4"/>
    <w:rsid w:val="00102737"/>
    <w:rsid w:val="00103123"/>
    <w:rsid w:val="00104710"/>
    <w:rsid w:val="00105EB5"/>
    <w:rsid w:val="00113417"/>
    <w:rsid w:val="00117DB9"/>
    <w:rsid w:val="001206F1"/>
    <w:rsid w:val="00121FAC"/>
    <w:rsid w:val="00124614"/>
    <w:rsid w:val="00135E5C"/>
    <w:rsid w:val="001367E9"/>
    <w:rsid w:val="001417C8"/>
    <w:rsid w:val="00143724"/>
    <w:rsid w:val="001458EC"/>
    <w:rsid w:val="00151A9A"/>
    <w:rsid w:val="00152148"/>
    <w:rsid w:val="00156444"/>
    <w:rsid w:val="001627AA"/>
    <w:rsid w:val="001704E3"/>
    <w:rsid w:val="00184563"/>
    <w:rsid w:val="0019327C"/>
    <w:rsid w:val="001A00DD"/>
    <w:rsid w:val="001A31A9"/>
    <w:rsid w:val="001B2E53"/>
    <w:rsid w:val="001D0B5E"/>
    <w:rsid w:val="001D2665"/>
    <w:rsid w:val="001D5A7C"/>
    <w:rsid w:val="001E1B86"/>
    <w:rsid w:val="001E7DE0"/>
    <w:rsid w:val="001F1590"/>
    <w:rsid w:val="001F4299"/>
    <w:rsid w:val="001F688B"/>
    <w:rsid w:val="001F7C50"/>
    <w:rsid w:val="002053AE"/>
    <w:rsid w:val="002078DE"/>
    <w:rsid w:val="002111E0"/>
    <w:rsid w:val="002116BA"/>
    <w:rsid w:val="002118E3"/>
    <w:rsid w:val="00212210"/>
    <w:rsid w:val="002176E4"/>
    <w:rsid w:val="00217817"/>
    <w:rsid w:val="002209C8"/>
    <w:rsid w:val="00231D8C"/>
    <w:rsid w:val="00232F64"/>
    <w:rsid w:val="00233580"/>
    <w:rsid w:val="00233A68"/>
    <w:rsid w:val="0023519C"/>
    <w:rsid w:val="002352FF"/>
    <w:rsid w:val="002356B1"/>
    <w:rsid w:val="00236294"/>
    <w:rsid w:val="00236B33"/>
    <w:rsid w:val="0024054B"/>
    <w:rsid w:val="002459DB"/>
    <w:rsid w:val="00246A8C"/>
    <w:rsid w:val="00251B64"/>
    <w:rsid w:val="00253E29"/>
    <w:rsid w:val="002574AB"/>
    <w:rsid w:val="00260A1D"/>
    <w:rsid w:val="00261077"/>
    <w:rsid w:val="00262A82"/>
    <w:rsid w:val="002660FD"/>
    <w:rsid w:val="00270AB2"/>
    <w:rsid w:val="0027254F"/>
    <w:rsid w:val="00272568"/>
    <w:rsid w:val="0027579F"/>
    <w:rsid w:val="00276D65"/>
    <w:rsid w:val="002847D4"/>
    <w:rsid w:val="00286F8A"/>
    <w:rsid w:val="0029062A"/>
    <w:rsid w:val="00290A9D"/>
    <w:rsid w:val="00290F4A"/>
    <w:rsid w:val="002928CF"/>
    <w:rsid w:val="00293CCA"/>
    <w:rsid w:val="00295442"/>
    <w:rsid w:val="002956D0"/>
    <w:rsid w:val="00295F57"/>
    <w:rsid w:val="002A2B92"/>
    <w:rsid w:val="002A33EF"/>
    <w:rsid w:val="002A6475"/>
    <w:rsid w:val="002A65CC"/>
    <w:rsid w:val="002A72AA"/>
    <w:rsid w:val="002B0848"/>
    <w:rsid w:val="002B20D6"/>
    <w:rsid w:val="002B3291"/>
    <w:rsid w:val="002B4021"/>
    <w:rsid w:val="002B60ED"/>
    <w:rsid w:val="002C55A5"/>
    <w:rsid w:val="002E475A"/>
    <w:rsid w:val="002E54E6"/>
    <w:rsid w:val="002E798E"/>
    <w:rsid w:val="002F04D9"/>
    <w:rsid w:val="002F15A6"/>
    <w:rsid w:val="002F314F"/>
    <w:rsid w:val="002F420A"/>
    <w:rsid w:val="002F54B0"/>
    <w:rsid w:val="002F7481"/>
    <w:rsid w:val="00300BEE"/>
    <w:rsid w:val="00301BEA"/>
    <w:rsid w:val="003039E3"/>
    <w:rsid w:val="00303D36"/>
    <w:rsid w:val="00304A7D"/>
    <w:rsid w:val="00305AF8"/>
    <w:rsid w:val="00306B60"/>
    <w:rsid w:val="00310A91"/>
    <w:rsid w:val="0031234D"/>
    <w:rsid w:val="00314E59"/>
    <w:rsid w:val="0031533F"/>
    <w:rsid w:val="003236F4"/>
    <w:rsid w:val="0033117D"/>
    <w:rsid w:val="00331D65"/>
    <w:rsid w:val="003334D0"/>
    <w:rsid w:val="00343017"/>
    <w:rsid w:val="0034679F"/>
    <w:rsid w:val="003521EA"/>
    <w:rsid w:val="00360F73"/>
    <w:rsid w:val="003672B2"/>
    <w:rsid w:val="00373825"/>
    <w:rsid w:val="00373AD4"/>
    <w:rsid w:val="00374361"/>
    <w:rsid w:val="003757A6"/>
    <w:rsid w:val="003765BE"/>
    <w:rsid w:val="00380441"/>
    <w:rsid w:val="00382C05"/>
    <w:rsid w:val="00385891"/>
    <w:rsid w:val="00385B09"/>
    <w:rsid w:val="0039525F"/>
    <w:rsid w:val="003959F5"/>
    <w:rsid w:val="003A154F"/>
    <w:rsid w:val="003A2CE7"/>
    <w:rsid w:val="003A5265"/>
    <w:rsid w:val="003B455C"/>
    <w:rsid w:val="003B5158"/>
    <w:rsid w:val="003C19D9"/>
    <w:rsid w:val="003C57BC"/>
    <w:rsid w:val="003D0704"/>
    <w:rsid w:val="003D2D13"/>
    <w:rsid w:val="003D73DB"/>
    <w:rsid w:val="003E246D"/>
    <w:rsid w:val="003E3378"/>
    <w:rsid w:val="003E409E"/>
    <w:rsid w:val="003E6087"/>
    <w:rsid w:val="003E68D7"/>
    <w:rsid w:val="003F31C1"/>
    <w:rsid w:val="003F3492"/>
    <w:rsid w:val="003F5639"/>
    <w:rsid w:val="003F67AD"/>
    <w:rsid w:val="004012D7"/>
    <w:rsid w:val="004015EB"/>
    <w:rsid w:val="004035EA"/>
    <w:rsid w:val="0040562D"/>
    <w:rsid w:val="00411BF8"/>
    <w:rsid w:val="00412E87"/>
    <w:rsid w:val="00414600"/>
    <w:rsid w:val="004227E5"/>
    <w:rsid w:val="004246AC"/>
    <w:rsid w:val="00425E5B"/>
    <w:rsid w:val="00426E46"/>
    <w:rsid w:val="00442040"/>
    <w:rsid w:val="00442AED"/>
    <w:rsid w:val="00443A9F"/>
    <w:rsid w:val="004471C2"/>
    <w:rsid w:val="0044740A"/>
    <w:rsid w:val="00451325"/>
    <w:rsid w:val="00461884"/>
    <w:rsid w:val="00480996"/>
    <w:rsid w:val="004848F2"/>
    <w:rsid w:val="004851F7"/>
    <w:rsid w:val="00491631"/>
    <w:rsid w:val="00491E19"/>
    <w:rsid w:val="00492128"/>
    <w:rsid w:val="00493065"/>
    <w:rsid w:val="00494B51"/>
    <w:rsid w:val="00495CE0"/>
    <w:rsid w:val="004A00D3"/>
    <w:rsid w:val="004A0EAE"/>
    <w:rsid w:val="004A11C8"/>
    <w:rsid w:val="004B0993"/>
    <w:rsid w:val="004B234F"/>
    <w:rsid w:val="004B2DB9"/>
    <w:rsid w:val="004B34C7"/>
    <w:rsid w:val="004B3AD2"/>
    <w:rsid w:val="004B3CA8"/>
    <w:rsid w:val="004B6146"/>
    <w:rsid w:val="004C1356"/>
    <w:rsid w:val="004C7A5A"/>
    <w:rsid w:val="004D0132"/>
    <w:rsid w:val="004D0658"/>
    <w:rsid w:val="004D16A7"/>
    <w:rsid w:val="004D28D9"/>
    <w:rsid w:val="004D2AD1"/>
    <w:rsid w:val="004D316A"/>
    <w:rsid w:val="004D531D"/>
    <w:rsid w:val="004E207C"/>
    <w:rsid w:val="004E46BB"/>
    <w:rsid w:val="004E515D"/>
    <w:rsid w:val="004E67DE"/>
    <w:rsid w:val="004F5A8B"/>
    <w:rsid w:val="004F7047"/>
    <w:rsid w:val="00506541"/>
    <w:rsid w:val="00507786"/>
    <w:rsid w:val="00513EE1"/>
    <w:rsid w:val="005140FC"/>
    <w:rsid w:val="0051472E"/>
    <w:rsid w:val="00515A6C"/>
    <w:rsid w:val="005166C4"/>
    <w:rsid w:val="00517078"/>
    <w:rsid w:val="0052238A"/>
    <w:rsid w:val="00522734"/>
    <w:rsid w:val="00530602"/>
    <w:rsid w:val="00533E97"/>
    <w:rsid w:val="005346BD"/>
    <w:rsid w:val="005348F8"/>
    <w:rsid w:val="00543920"/>
    <w:rsid w:val="00544E4A"/>
    <w:rsid w:val="0055062F"/>
    <w:rsid w:val="00555D0E"/>
    <w:rsid w:val="00563F53"/>
    <w:rsid w:val="00564994"/>
    <w:rsid w:val="00564CFD"/>
    <w:rsid w:val="00565941"/>
    <w:rsid w:val="00565C98"/>
    <w:rsid w:val="00575796"/>
    <w:rsid w:val="0057794C"/>
    <w:rsid w:val="0058065A"/>
    <w:rsid w:val="00591434"/>
    <w:rsid w:val="005952D2"/>
    <w:rsid w:val="005967CA"/>
    <w:rsid w:val="00596B63"/>
    <w:rsid w:val="005B646A"/>
    <w:rsid w:val="005B7E7B"/>
    <w:rsid w:val="005C16E5"/>
    <w:rsid w:val="005C4C2F"/>
    <w:rsid w:val="005C4F96"/>
    <w:rsid w:val="005D019C"/>
    <w:rsid w:val="005D1166"/>
    <w:rsid w:val="005D17DB"/>
    <w:rsid w:val="005D5295"/>
    <w:rsid w:val="005E0545"/>
    <w:rsid w:val="005E08E0"/>
    <w:rsid w:val="005E2541"/>
    <w:rsid w:val="005E3DE1"/>
    <w:rsid w:val="005E3F67"/>
    <w:rsid w:val="005E5B99"/>
    <w:rsid w:val="005F3188"/>
    <w:rsid w:val="005F384D"/>
    <w:rsid w:val="005F48A6"/>
    <w:rsid w:val="006018B8"/>
    <w:rsid w:val="006025BC"/>
    <w:rsid w:val="00604937"/>
    <w:rsid w:val="00612E89"/>
    <w:rsid w:val="00614546"/>
    <w:rsid w:val="00617CC7"/>
    <w:rsid w:val="0062194F"/>
    <w:rsid w:val="00630041"/>
    <w:rsid w:val="00630410"/>
    <w:rsid w:val="00630FB6"/>
    <w:rsid w:val="00632FDF"/>
    <w:rsid w:val="00637026"/>
    <w:rsid w:val="006405E0"/>
    <w:rsid w:val="00643C7F"/>
    <w:rsid w:val="006477C6"/>
    <w:rsid w:val="00651A3F"/>
    <w:rsid w:val="006545D2"/>
    <w:rsid w:val="00655D84"/>
    <w:rsid w:val="006629B6"/>
    <w:rsid w:val="00664624"/>
    <w:rsid w:val="00670396"/>
    <w:rsid w:val="00670C72"/>
    <w:rsid w:val="0067380D"/>
    <w:rsid w:val="00680C66"/>
    <w:rsid w:val="00681969"/>
    <w:rsid w:val="00684F7E"/>
    <w:rsid w:val="00684F8A"/>
    <w:rsid w:val="00686AF9"/>
    <w:rsid w:val="00692020"/>
    <w:rsid w:val="00692CBE"/>
    <w:rsid w:val="006A1D6E"/>
    <w:rsid w:val="006A21FC"/>
    <w:rsid w:val="006A2D81"/>
    <w:rsid w:val="006A6B56"/>
    <w:rsid w:val="006A7797"/>
    <w:rsid w:val="006A7880"/>
    <w:rsid w:val="006B05E2"/>
    <w:rsid w:val="006B1CD3"/>
    <w:rsid w:val="006B5082"/>
    <w:rsid w:val="006B6AB2"/>
    <w:rsid w:val="006D14FA"/>
    <w:rsid w:val="006D1A64"/>
    <w:rsid w:val="006D613C"/>
    <w:rsid w:val="006D7806"/>
    <w:rsid w:val="006D7DBE"/>
    <w:rsid w:val="006E45D1"/>
    <w:rsid w:val="006E6F2F"/>
    <w:rsid w:val="006F1A01"/>
    <w:rsid w:val="006F2271"/>
    <w:rsid w:val="006F38FF"/>
    <w:rsid w:val="006F47CE"/>
    <w:rsid w:val="006F5710"/>
    <w:rsid w:val="006F585E"/>
    <w:rsid w:val="006F5D88"/>
    <w:rsid w:val="006F62B7"/>
    <w:rsid w:val="00703908"/>
    <w:rsid w:val="00703B2E"/>
    <w:rsid w:val="0071131D"/>
    <w:rsid w:val="00713A2F"/>
    <w:rsid w:val="00714DFA"/>
    <w:rsid w:val="00720C7D"/>
    <w:rsid w:val="007227E8"/>
    <w:rsid w:val="00723991"/>
    <w:rsid w:val="00723B64"/>
    <w:rsid w:val="00725B56"/>
    <w:rsid w:val="00727306"/>
    <w:rsid w:val="007308D1"/>
    <w:rsid w:val="00731020"/>
    <w:rsid w:val="007348F5"/>
    <w:rsid w:val="00736863"/>
    <w:rsid w:val="00744E4E"/>
    <w:rsid w:val="007453C6"/>
    <w:rsid w:val="00746119"/>
    <w:rsid w:val="00751757"/>
    <w:rsid w:val="00753261"/>
    <w:rsid w:val="00757742"/>
    <w:rsid w:val="007602A5"/>
    <w:rsid w:val="00762D11"/>
    <w:rsid w:val="00762EBF"/>
    <w:rsid w:val="00767CBC"/>
    <w:rsid w:val="00770C64"/>
    <w:rsid w:val="0077598E"/>
    <w:rsid w:val="00775DC4"/>
    <w:rsid w:val="007778A6"/>
    <w:rsid w:val="00780158"/>
    <w:rsid w:val="00781314"/>
    <w:rsid w:val="0078525E"/>
    <w:rsid w:val="00792FDA"/>
    <w:rsid w:val="00793474"/>
    <w:rsid w:val="007A0352"/>
    <w:rsid w:val="007A3217"/>
    <w:rsid w:val="007A4E43"/>
    <w:rsid w:val="007A740E"/>
    <w:rsid w:val="007B0462"/>
    <w:rsid w:val="007B0910"/>
    <w:rsid w:val="007B67CB"/>
    <w:rsid w:val="007B6B7F"/>
    <w:rsid w:val="007C1CF7"/>
    <w:rsid w:val="007C208F"/>
    <w:rsid w:val="007D2D42"/>
    <w:rsid w:val="007D6EAC"/>
    <w:rsid w:val="007E0308"/>
    <w:rsid w:val="007E0935"/>
    <w:rsid w:val="007E1FC3"/>
    <w:rsid w:val="007E247D"/>
    <w:rsid w:val="007E3707"/>
    <w:rsid w:val="007E3FE1"/>
    <w:rsid w:val="007F2CF4"/>
    <w:rsid w:val="007F321C"/>
    <w:rsid w:val="00800166"/>
    <w:rsid w:val="00801F11"/>
    <w:rsid w:val="0080431A"/>
    <w:rsid w:val="00804DD7"/>
    <w:rsid w:val="00804E12"/>
    <w:rsid w:val="008119D0"/>
    <w:rsid w:val="008124A5"/>
    <w:rsid w:val="00815265"/>
    <w:rsid w:val="00822659"/>
    <w:rsid w:val="0082652C"/>
    <w:rsid w:val="00831A14"/>
    <w:rsid w:val="00845409"/>
    <w:rsid w:val="00846656"/>
    <w:rsid w:val="00847999"/>
    <w:rsid w:val="00847F2F"/>
    <w:rsid w:val="00857490"/>
    <w:rsid w:val="00860427"/>
    <w:rsid w:val="008614FE"/>
    <w:rsid w:val="00870CA8"/>
    <w:rsid w:val="00870D16"/>
    <w:rsid w:val="0087636A"/>
    <w:rsid w:val="00877EB3"/>
    <w:rsid w:val="00882ED6"/>
    <w:rsid w:val="00885331"/>
    <w:rsid w:val="008A05DE"/>
    <w:rsid w:val="008A7A4A"/>
    <w:rsid w:val="008B2406"/>
    <w:rsid w:val="008B5C19"/>
    <w:rsid w:val="008C038D"/>
    <w:rsid w:val="008C6D8B"/>
    <w:rsid w:val="008C736B"/>
    <w:rsid w:val="008C756C"/>
    <w:rsid w:val="008C7A37"/>
    <w:rsid w:val="008D2999"/>
    <w:rsid w:val="008D620D"/>
    <w:rsid w:val="008E1507"/>
    <w:rsid w:val="008E7D17"/>
    <w:rsid w:val="008F2678"/>
    <w:rsid w:val="009060DB"/>
    <w:rsid w:val="00911AC9"/>
    <w:rsid w:val="0091235E"/>
    <w:rsid w:val="00913241"/>
    <w:rsid w:val="00914EED"/>
    <w:rsid w:val="00926827"/>
    <w:rsid w:val="009310BE"/>
    <w:rsid w:val="0093388D"/>
    <w:rsid w:val="00936162"/>
    <w:rsid w:val="009479D4"/>
    <w:rsid w:val="00953301"/>
    <w:rsid w:val="00957552"/>
    <w:rsid w:val="009658E4"/>
    <w:rsid w:val="00967A04"/>
    <w:rsid w:val="0097046C"/>
    <w:rsid w:val="00971216"/>
    <w:rsid w:val="0097364F"/>
    <w:rsid w:val="009753EC"/>
    <w:rsid w:val="00981C92"/>
    <w:rsid w:val="00982DF5"/>
    <w:rsid w:val="00983535"/>
    <w:rsid w:val="009838E5"/>
    <w:rsid w:val="0099110A"/>
    <w:rsid w:val="009926B5"/>
    <w:rsid w:val="0099288F"/>
    <w:rsid w:val="00992AA4"/>
    <w:rsid w:val="00993310"/>
    <w:rsid w:val="00997F13"/>
    <w:rsid w:val="009A307C"/>
    <w:rsid w:val="009A7257"/>
    <w:rsid w:val="009A7629"/>
    <w:rsid w:val="009B3664"/>
    <w:rsid w:val="009B43A9"/>
    <w:rsid w:val="009C088C"/>
    <w:rsid w:val="009C268F"/>
    <w:rsid w:val="009C4FF5"/>
    <w:rsid w:val="009C6C12"/>
    <w:rsid w:val="009D147D"/>
    <w:rsid w:val="009D1D6C"/>
    <w:rsid w:val="009D387C"/>
    <w:rsid w:val="009D44CB"/>
    <w:rsid w:val="009D46A2"/>
    <w:rsid w:val="009D6BF7"/>
    <w:rsid w:val="009D7338"/>
    <w:rsid w:val="009E1F26"/>
    <w:rsid w:val="009E2982"/>
    <w:rsid w:val="009E7D7E"/>
    <w:rsid w:val="009F1541"/>
    <w:rsid w:val="009F24FF"/>
    <w:rsid w:val="009F3328"/>
    <w:rsid w:val="009F45CA"/>
    <w:rsid w:val="00A11DF3"/>
    <w:rsid w:val="00A11EE9"/>
    <w:rsid w:val="00A128F0"/>
    <w:rsid w:val="00A15220"/>
    <w:rsid w:val="00A16878"/>
    <w:rsid w:val="00A20164"/>
    <w:rsid w:val="00A23DF0"/>
    <w:rsid w:val="00A2623F"/>
    <w:rsid w:val="00A26EB5"/>
    <w:rsid w:val="00A278B6"/>
    <w:rsid w:val="00A30A0F"/>
    <w:rsid w:val="00A31864"/>
    <w:rsid w:val="00A36472"/>
    <w:rsid w:val="00A43AE1"/>
    <w:rsid w:val="00A43EC8"/>
    <w:rsid w:val="00A46CC0"/>
    <w:rsid w:val="00A51D71"/>
    <w:rsid w:val="00A51EAE"/>
    <w:rsid w:val="00A73D19"/>
    <w:rsid w:val="00A743E8"/>
    <w:rsid w:val="00A756F5"/>
    <w:rsid w:val="00A80DAE"/>
    <w:rsid w:val="00A81AF8"/>
    <w:rsid w:val="00A83F61"/>
    <w:rsid w:val="00A905BE"/>
    <w:rsid w:val="00A909F7"/>
    <w:rsid w:val="00A92CBC"/>
    <w:rsid w:val="00A93EF7"/>
    <w:rsid w:val="00A9490A"/>
    <w:rsid w:val="00A9738B"/>
    <w:rsid w:val="00AA18F5"/>
    <w:rsid w:val="00AA2BAD"/>
    <w:rsid w:val="00AA4508"/>
    <w:rsid w:val="00AA618A"/>
    <w:rsid w:val="00AA6631"/>
    <w:rsid w:val="00AB3AE7"/>
    <w:rsid w:val="00AB6592"/>
    <w:rsid w:val="00AC3E1E"/>
    <w:rsid w:val="00AC4053"/>
    <w:rsid w:val="00AC58AE"/>
    <w:rsid w:val="00AD524C"/>
    <w:rsid w:val="00AD5FB3"/>
    <w:rsid w:val="00AE1436"/>
    <w:rsid w:val="00AE1698"/>
    <w:rsid w:val="00AE4535"/>
    <w:rsid w:val="00AE646F"/>
    <w:rsid w:val="00AF0A5A"/>
    <w:rsid w:val="00AF1DF3"/>
    <w:rsid w:val="00AF4DC5"/>
    <w:rsid w:val="00AF67EB"/>
    <w:rsid w:val="00AF6EA6"/>
    <w:rsid w:val="00B00C2E"/>
    <w:rsid w:val="00B01841"/>
    <w:rsid w:val="00B0354D"/>
    <w:rsid w:val="00B051FB"/>
    <w:rsid w:val="00B0580D"/>
    <w:rsid w:val="00B06127"/>
    <w:rsid w:val="00B10F88"/>
    <w:rsid w:val="00B118E7"/>
    <w:rsid w:val="00B11DB1"/>
    <w:rsid w:val="00B14337"/>
    <w:rsid w:val="00B14B08"/>
    <w:rsid w:val="00B20F6A"/>
    <w:rsid w:val="00B210BB"/>
    <w:rsid w:val="00B237DA"/>
    <w:rsid w:val="00B238CE"/>
    <w:rsid w:val="00B2473D"/>
    <w:rsid w:val="00B25278"/>
    <w:rsid w:val="00B31378"/>
    <w:rsid w:val="00B31D93"/>
    <w:rsid w:val="00B34D35"/>
    <w:rsid w:val="00B354F3"/>
    <w:rsid w:val="00B42353"/>
    <w:rsid w:val="00B431BB"/>
    <w:rsid w:val="00B44DD3"/>
    <w:rsid w:val="00B5219E"/>
    <w:rsid w:val="00B53FF5"/>
    <w:rsid w:val="00B6426B"/>
    <w:rsid w:val="00B657D6"/>
    <w:rsid w:val="00B65DB1"/>
    <w:rsid w:val="00B66291"/>
    <w:rsid w:val="00B66D52"/>
    <w:rsid w:val="00B706BB"/>
    <w:rsid w:val="00B725B5"/>
    <w:rsid w:val="00B7363C"/>
    <w:rsid w:val="00B81B28"/>
    <w:rsid w:val="00B85542"/>
    <w:rsid w:val="00B867AF"/>
    <w:rsid w:val="00B9030F"/>
    <w:rsid w:val="00B91721"/>
    <w:rsid w:val="00B95DEC"/>
    <w:rsid w:val="00B964F4"/>
    <w:rsid w:val="00BA0CEE"/>
    <w:rsid w:val="00BA17AE"/>
    <w:rsid w:val="00BA20C8"/>
    <w:rsid w:val="00BA39EC"/>
    <w:rsid w:val="00BA59B6"/>
    <w:rsid w:val="00BB128D"/>
    <w:rsid w:val="00BB3911"/>
    <w:rsid w:val="00BC2F3F"/>
    <w:rsid w:val="00BC3988"/>
    <w:rsid w:val="00BC4045"/>
    <w:rsid w:val="00BC6483"/>
    <w:rsid w:val="00BD19CB"/>
    <w:rsid w:val="00BD7E42"/>
    <w:rsid w:val="00BE2E4D"/>
    <w:rsid w:val="00BE6AE4"/>
    <w:rsid w:val="00BF01FA"/>
    <w:rsid w:val="00BF0ACD"/>
    <w:rsid w:val="00BF79DD"/>
    <w:rsid w:val="00C028F2"/>
    <w:rsid w:val="00C0389E"/>
    <w:rsid w:val="00C11295"/>
    <w:rsid w:val="00C123DE"/>
    <w:rsid w:val="00C1256C"/>
    <w:rsid w:val="00C134B7"/>
    <w:rsid w:val="00C23BEE"/>
    <w:rsid w:val="00C26E48"/>
    <w:rsid w:val="00C31510"/>
    <w:rsid w:val="00C36032"/>
    <w:rsid w:val="00C4258C"/>
    <w:rsid w:val="00C432A1"/>
    <w:rsid w:val="00C452D8"/>
    <w:rsid w:val="00C46A52"/>
    <w:rsid w:val="00C50328"/>
    <w:rsid w:val="00C51FAB"/>
    <w:rsid w:val="00C5406A"/>
    <w:rsid w:val="00C5632B"/>
    <w:rsid w:val="00C63550"/>
    <w:rsid w:val="00C67BA1"/>
    <w:rsid w:val="00C70D79"/>
    <w:rsid w:val="00C71D44"/>
    <w:rsid w:val="00C72775"/>
    <w:rsid w:val="00C73810"/>
    <w:rsid w:val="00C76BF5"/>
    <w:rsid w:val="00C85231"/>
    <w:rsid w:val="00C96593"/>
    <w:rsid w:val="00CA1D47"/>
    <w:rsid w:val="00CA2018"/>
    <w:rsid w:val="00CA46BF"/>
    <w:rsid w:val="00CA56B4"/>
    <w:rsid w:val="00CA6B14"/>
    <w:rsid w:val="00CA6CD5"/>
    <w:rsid w:val="00CB1A74"/>
    <w:rsid w:val="00CB346A"/>
    <w:rsid w:val="00CC147C"/>
    <w:rsid w:val="00CC2180"/>
    <w:rsid w:val="00CD75F7"/>
    <w:rsid w:val="00CE2625"/>
    <w:rsid w:val="00CE3884"/>
    <w:rsid w:val="00CE4B31"/>
    <w:rsid w:val="00CF716F"/>
    <w:rsid w:val="00CF7690"/>
    <w:rsid w:val="00D01D45"/>
    <w:rsid w:val="00D01DE2"/>
    <w:rsid w:val="00D05E54"/>
    <w:rsid w:val="00D07453"/>
    <w:rsid w:val="00D1122E"/>
    <w:rsid w:val="00D14761"/>
    <w:rsid w:val="00D21858"/>
    <w:rsid w:val="00D2424B"/>
    <w:rsid w:val="00D26ED8"/>
    <w:rsid w:val="00D32A55"/>
    <w:rsid w:val="00D37358"/>
    <w:rsid w:val="00D41035"/>
    <w:rsid w:val="00D5328B"/>
    <w:rsid w:val="00D544A0"/>
    <w:rsid w:val="00D56063"/>
    <w:rsid w:val="00D56F30"/>
    <w:rsid w:val="00D65C59"/>
    <w:rsid w:val="00D67B3E"/>
    <w:rsid w:val="00D72CD7"/>
    <w:rsid w:val="00D73D54"/>
    <w:rsid w:val="00D755A0"/>
    <w:rsid w:val="00D8247D"/>
    <w:rsid w:val="00D82AB0"/>
    <w:rsid w:val="00D83368"/>
    <w:rsid w:val="00D83B10"/>
    <w:rsid w:val="00DA6B47"/>
    <w:rsid w:val="00DB09C7"/>
    <w:rsid w:val="00DB1AB0"/>
    <w:rsid w:val="00DB2BDF"/>
    <w:rsid w:val="00DB2ECB"/>
    <w:rsid w:val="00DC2AE1"/>
    <w:rsid w:val="00DC568A"/>
    <w:rsid w:val="00DD04F4"/>
    <w:rsid w:val="00DD17DA"/>
    <w:rsid w:val="00DD2D75"/>
    <w:rsid w:val="00DD52A6"/>
    <w:rsid w:val="00DD774F"/>
    <w:rsid w:val="00DF47F5"/>
    <w:rsid w:val="00DF4E4B"/>
    <w:rsid w:val="00E02A84"/>
    <w:rsid w:val="00E05F0F"/>
    <w:rsid w:val="00E07DB5"/>
    <w:rsid w:val="00E11550"/>
    <w:rsid w:val="00E120D5"/>
    <w:rsid w:val="00E149A9"/>
    <w:rsid w:val="00E1610F"/>
    <w:rsid w:val="00E16307"/>
    <w:rsid w:val="00E16B9F"/>
    <w:rsid w:val="00E22AA2"/>
    <w:rsid w:val="00E25177"/>
    <w:rsid w:val="00E2545B"/>
    <w:rsid w:val="00E26869"/>
    <w:rsid w:val="00E27FAA"/>
    <w:rsid w:val="00E30F77"/>
    <w:rsid w:val="00E367DD"/>
    <w:rsid w:val="00E42C8A"/>
    <w:rsid w:val="00E43D94"/>
    <w:rsid w:val="00E44EB4"/>
    <w:rsid w:val="00E506A3"/>
    <w:rsid w:val="00E55A04"/>
    <w:rsid w:val="00E618DC"/>
    <w:rsid w:val="00E63AF7"/>
    <w:rsid w:val="00E66CC7"/>
    <w:rsid w:val="00E679BC"/>
    <w:rsid w:val="00E70845"/>
    <w:rsid w:val="00E8161A"/>
    <w:rsid w:val="00E862BB"/>
    <w:rsid w:val="00E87C4F"/>
    <w:rsid w:val="00E92C4C"/>
    <w:rsid w:val="00E936E5"/>
    <w:rsid w:val="00E94F97"/>
    <w:rsid w:val="00EA2097"/>
    <w:rsid w:val="00EA40D4"/>
    <w:rsid w:val="00EA52B1"/>
    <w:rsid w:val="00EB2488"/>
    <w:rsid w:val="00EB2A2E"/>
    <w:rsid w:val="00EC0240"/>
    <w:rsid w:val="00EC3F52"/>
    <w:rsid w:val="00EC40F7"/>
    <w:rsid w:val="00ED0CE4"/>
    <w:rsid w:val="00ED4735"/>
    <w:rsid w:val="00EE4971"/>
    <w:rsid w:val="00EF09D6"/>
    <w:rsid w:val="00EF4FCA"/>
    <w:rsid w:val="00EF5FED"/>
    <w:rsid w:val="00F06953"/>
    <w:rsid w:val="00F1279F"/>
    <w:rsid w:val="00F154FA"/>
    <w:rsid w:val="00F16AAB"/>
    <w:rsid w:val="00F17402"/>
    <w:rsid w:val="00F2186B"/>
    <w:rsid w:val="00F3176C"/>
    <w:rsid w:val="00F44704"/>
    <w:rsid w:val="00F53A7A"/>
    <w:rsid w:val="00F540DF"/>
    <w:rsid w:val="00F5600F"/>
    <w:rsid w:val="00F56FF0"/>
    <w:rsid w:val="00F66895"/>
    <w:rsid w:val="00F67F69"/>
    <w:rsid w:val="00F70A5A"/>
    <w:rsid w:val="00F70AAB"/>
    <w:rsid w:val="00F72728"/>
    <w:rsid w:val="00F76D3C"/>
    <w:rsid w:val="00F771F5"/>
    <w:rsid w:val="00F82770"/>
    <w:rsid w:val="00F844CA"/>
    <w:rsid w:val="00F86325"/>
    <w:rsid w:val="00F92477"/>
    <w:rsid w:val="00F930A3"/>
    <w:rsid w:val="00F93AC8"/>
    <w:rsid w:val="00FA783D"/>
    <w:rsid w:val="00FB190B"/>
    <w:rsid w:val="00FB2ED0"/>
    <w:rsid w:val="00FB3F45"/>
    <w:rsid w:val="00FB4DA2"/>
    <w:rsid w:val="00FB7EB8"/>
    <w:rsid w:val="00FC139A"/>
    <w:rsid w:val="00FC3E1A"/>
    <w:rsid w:val="00FC66D0"/>
    <w:rsid w:val="00FC7B17"/>
    <w:rsid w:val="00FD5DCF"/>
    <w:rsid w:val="00FD7C9A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C2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paragraph" w:customStyle="1" w:styleId="Default">
    <w:name w:val="Default"/>
    <w:rsid w:val="0021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336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68"/>
    <w:rPr>
      <w:rFonts w:eastAsiaTheme="minorEastAsia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4B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4B08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4B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paragraph" w:customStyle="1" w:styleId="Default">
    <w:name w:val="Default"/>
    <w:rsid w:val="0021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336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68"/>
    <w:rPr>
      <w:rFonts w:eastAsiaTheme="minorEastAsia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4B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4B08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4B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308DB-C301-4B30-BC38-ADCC1043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Caroline Nobevu</cp:lastModifiedBy>
  <cp:revision>2</cp:revision>
  <cp:lastPrinted>2019-03-15T13:41:00Z</cp:lastPrinted>
  <dcterms:created xsi:type="dcterms:W3CDTF">2019-03-26T08:18:00Z</dcterms:created>
  <dcterms:modified xsi:type="dcterms:W3CDTF">2019-03-26T08:18:00Z</dcterms:modified>
</cp:coreProperties>
</file>