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67" w:rsidRDefault="006E7B67" w:rsidP="006E7B67">
      <w:pPr>
        <w:rPr>
          <w:b/>
          <w:bCs/>
          <w:lang w:val="en-US"/>
        </w:rPr>
      </w:pPr>
    </w:p>
    <w:p w:rsidR="006E7B67" w:rsidRDefault="006E7B67" w:rsidP="006E7B67">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E7B67" w:rsidRDefault="006E7B67" w:rsidP="006E7B67">
      <w:pPr>
        <w:jc w:val="center"/>
        <w:rPr>
          <w:rFonts w:ascii="Arial" w:hAnsi="Arial" w:cs="Arial"/>
          <w:b/>
          <w:color w:val="538135"/>
        </w:rPr>
      </w:pPr>
      <w:r>
        <w:rPr>
          <w:rFonts w:ascii="Arial" w:hAnsi="Arial" w:cs="Arial"/>
          <w:b/>
          <w:color w:val="538135"/>
        </w:rPr>
        <w:t>MINISTRY</w:t>
      </w:r>
    </w:p>
    <w:p w:rsidR="006E7B67" w:rsidRDefault="006E7B67" w:rsidP="006E7B67">
      <w:pPr>
        <w:jc w:val="center"/>
        <w:rPr>
          <w:rFonts w:ascii="Arial" w:hAnsi="Arial" w:cs="Arial"/>
          <w:b/>
          <w:color w:val="538135"/>
        </w:rPr>
      </w:pPr>
      <w:r>
        <w:rPr>
          <w:rFonts w:ascii="Arial" w:hAnsi="Arial" w:cs="Arial"/>
          <w:b/>
          <w:color w:val="538135"/>
        </w:rPr>
        <w:t>MINERAL RESOURCES AND ENERGY</w:t>
      </w:r>
    </w:p>
    <w:p w:rsidR="006E7B67" w:rsidRDefault="006E7B67" w:rsidP="006E7B67">
      <w:pPr>
        <w:jc w:val="center"/>
        <w:rPr>
          <w:rFonts w:ascii="Arial" w:hAnsi="Arial" w:cs="Arial"/>
          <w:b/>
          <w:color w:val="538135"/>
        </w:rPr>
      </w:pPr>
      <w:r>
        <w:rPr>
          <w:rFonts w:ascii="Arial" w:hAnsi="Arial" w:cs="Arial"/>
          <w:b/>
          <w:color w:val="538135"/>
        </w:rPr>
        <w:t>REPUBLIC OF SOUTH AFRICA</w:t>
      </w:r>
    </w:p>
    <w:p w:rsidR="006E7B67" w:rsidRDefault="006E7B67" w:rsidP="006E7B67">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3F483F" w:rsidRPr="006E7B67" w:rsidRDefault="006E7B67" w:rsidP="006E7B67">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w:t>
      </w:r>
      <w:proofErr w:type="spellStart"/>
      <w:r>
        <w:rPr>
          <w:rFonts w:ascii="Arial" w:hAnsi="Arial" w:cs="Arial"/>
          <w:sz w:val="12"/>
          <w:szCs w:val="12"/>
        </w:rPr>
        <w:t>Plein</w:t>
      </w:r>
      <w:proofErr w:type="spellEnd"/>
      <w:r>
        <w:rPr>
          <w:rFonts w:ascii="Arial" w:hAnsi="Arial" w:cs="Arial"/>
          <w:sz w:val="12"/>
          <w:szCs w:val="12"/>
        </w:rPr>
        <w:t xml:space="preserve"> Street Cape Town, Tel: +27 21 469 6425, Fax: +27 21 465 5980</w:t>
      </w:r>
    </w:p>
    <w:p w:rsidR="003F483F" w:rsidRDefault="003F483F" w:rsidP="003F483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3F483F" w:rsidRDefault="003F483F" w:rsidP="003F483F">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r>
        <w:rPr>
          <w:rFonts w:ascii="Arial Narrow" w:hAnsi="Arial Narrow" w:cs="Tunga"/>
          <w:b/>
          <w:sz w:val="24"/>
          <w:szCs w:val="24"/>
          <w:lang w:val="fr-FR"/>
        </w:rPr>
        <w:t>Assembly</w:t>
      </w:r>
      <w:proofErr w:type="spellEnd"/>
      <w:r>
        <w:rPr>
          <w:rFonts w:ascii="Arial Narrow" w:hAnsi="Arial Narrow" w:cs="Tunga"/>
          <w:b/>
          <w:sz w:val="24"/>
          <w:szCs w:val="24"/>
          <w:lang w:val="fr-FR"/>
        </w:rPr>
        <w:t>:</w:t>
      </w:r>
      <w:r w:rsidRPr="00C731C4">
        <w:rPr>
          <w:rFonts w:ascii="Arial Narrow" w:hAnsi="Arial Narrow" w:cs="Tunga"/>
          <w:b/>
          <w:sz w:val="24"/>
          <w:szCs w:val="24"/>
          <w:lang w:val="fr-FR"/>
        </w:rPr>
        <w:t xml:space="preserve"> </w:t>
      </w:r>
      <w:r w:rsidR="005D68EE">
        <w:rPr>
          <w:rFonts w:ascii="Arial Narrow" w:hAnsi="Arial Narrow" w:cs="Tunga"/>
          <w:b/>
          <w:sz w:val="24"/>
          <w:szCs w:val="24"/>
          <w:lang w:val="fr-FR"/>
        </w:rPr>
        <w:t>622</w:t>
      </w:r>
    </w:p>
    <w:p w:rsidR="003F483F" w:rsidRDefault="003F483F" w:rsidP="003F483F">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Pr>
          <w:rFonts w:ascii="Arial Narrow" w:hAnsi="Arial Narrow" w:cs="Arial"/>
          <w:b/>
          <w:i/>
        </w:rPr>
        <w:t>written reply</w:t>
      </w:r>
      <w:r>
        <w:rPr>
          <w:rFonts w:ascii="Arial Narrow" w:hAnsi="Arial Narrow" w:cs="Arial"/>
        </w:rPr>
        <w:t xml:space="preserve"> asked </w:t>
      </w:r>
      <w:r>
        <w:rPr>
          <w:rFonts w:ascii="Arial Narrow" w:hAnsi="Arial Narrow" w:cs="Arial"/>
          <w:b/>
        </w:rPr>
        <w:t>by</w:t>
      </w:r>
      <w:r>
        <w:rPr>
          <w:rFonts w:ascii="Arial Narrow" w:hAnsi="Arial Narrow"/>
          <w:b/>
        </w:rPr>
        <w:t xml:space="preserve"> </w:t>
      </w:r>
      <w:r w:rsidR="005D68EE" w:rsidRPr="005D68EE">
        <w:rPr>
          <w:rFonts w:ascii="Arial Narrow" w:hAnsi="Arial Narrow"/>
          <w:b/>
          <w:bCs/>
        </w:rPr>
        <w:t xml:space="preserve">Ms P </w:t>
      </w:r>
      <w:proofErr w:type="spellStart"/>
      <w:r w:rsidR="005D68EE" w:rsidRPr="005D68EE">
        <w:rPr>
          <w:rFonts w:ascii="Arial Narrow" w:hAnsi="Arial Narrow"/>
          <w:b/>
          <w:bCs/>
        </w:rPr>
        <w:t>Madokwe</w:t>
      </w:r>
      <w:proofErr w:type="spellEnd"/>
      <w:r w:rsidR="005D68EE" w:rsidRPr="005D68EE">
        <w:rPr>
          <w:rFonts w:ascii="Arial Narrow" w:hAnsi="Arial Narrow"/>
          <w:b/>
          <w:bCs/>
        </w:rPr>
        <w:t xml:space="preserve"> (EFF) </w:t>
      </w:r>
      <w:r w:rsidRPr="00C16ABE">
        <w:rPr>
          <w:rFonts w:ascii="Arial Narrow" w:hAnsi="Arial Narrow"/>
          <w:b/>
          <w:bCs/>
        </w:rPr>
        <w:t>to ask the Minister of Mineral Resources and Energy</w:t>
      </w:r>
      <w:r>
        <w:rPr>
          <w:rFonts w:ascii="Arial Narrow" w:hAnsi="Arial Narrow"/>
          <w:b/>
          <w:bCs/>
        </w:rPr>
        <w:t xml:space="preserve">: </w:t>
      </w:r>
    </w:p>
    <w:p w:rsidR="003F483F" w:rsidRDefault="003F483F" w:rsidP="003F483F">
      <w:pPr>
        <w:spacing w:before="100" w:beforeAutospacing="1" w:after="100" w:afterAutospacing="1" w:line="360" w:lineRule="auto"/>
        <w:jc w:val="both"/>
        <w:outlineLvl w:val="0"/>
        <w:rPr>
          <w:rFonts w:ascii="Arial Narrow" w:hAnsi="Arial Narrow" w:cs="Arial"/>
          <w:b/>
          <w:sz w:val="24"/>
          <w:szCs w:val="24"/>
          <w:lang w:val="en-ZA"/>
        </w:rPr>
      </w:pPr>
    </w:p>
    <w:p w:rsidR="003F483F" w:rsidRDefault="003F483F" w:rsidP="003F483F">
      <w:pPr>
        <w:spacing w:before="100" w:beforeAutospacing="1" w:after="100" w:afterAutospacing="1" w:line="240" w:lineRule="auto"/>
        <w:jc w:val="both"/>
        <w:outlineLvl w:val="0"/>
        <w:rPr>
          <w:rFonts w:ascii="Arial Narrow" w:hAnsi="Arial Narrow"/>
          <w:sz w:val="24"/>
          <w:szCs w:val="24"/>
        </w:rPr>
      </w:pPr>
    </w:p>
    <w:p w:rsidR="003F483F" w:rsidRDefault="001B2819"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Ms Patricia Gamede</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w:t>
      </w:r>
      <w:r w:rsidR="001B2819">
        <w:rPr>
          <w:rFonts w:ascii="Arial Narrow" w:hAnsi="Arial Narrow" w:cs="Tunga"/>
          <w:b/>
          <w:sz w:val="24"/>
          <w:szCs w:val="24"/>
          <w:lang w:val="en-ZA"/>
        </w:rPr>
        <w:t xml:space="preserve">Corporate Services </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rsidP="00DC407C">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F27BA8" w:rsidRDefault="00F27BA8" w:rsidP="003F483F">
      <w:pPr>
        <w:spacing w:after="0" w:line="240" w:lineRule="auto"/>
        <w:rPr>
          <w:rFonts w:ascii="Arial Narrow" w:hAnsi="Arial Narrow" w:cs="Tunga"/>
          <w:b/>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Adv. T.S </w:t>
      </w:r>
      <w:proofErr w:type="spellStart"/>
      <w:r>
        <w:rPr>
          <w:rFonts w:ascii="Arial Narrow" w:hAnsi="Arial Narrow" w:cs="Tunga"/>
          <w:b/>
          <w:sz w:val="24"/>
          <w:szCs w:val="24"/>
          <w:lang w:val="en-ZA"/>
        </w:rPr>
        <w:t>Mokoena</w:t>
      </w:r>
      <w:proofErr w:type="spellEnd"/>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rsidP="00DC407C">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3F483F" w:rsidRDefault="003F483F" w:rsidP="003F483F">
      <w:pPr>
        <w:spacing w:line="240" w:lineRule="auto"/>
        <w:rPr>
          <w:rFonts w:ascii="Arial Narrow" w:hAnsi="Arial Narrow" w:cs="Tunga"/>
          <w:sz w:val="24"/>
          <w:szCs w:val="24"/>
          <w:lang w:val="en-ZA"/>
        </w:rPr>
      </w:pPr>
    </w:p>
    <w:p w:rsidR="003F483F" w:rsidRDefault="003F483F" w:rsidP="003F483F">
      <w:pPr>
        <w:spacing w:line="240" w:lineRule="auto"/>
        <w:rPr>
          <w:rFonts w:ascii="Arial Narrow" w:hAnsi="Arial Narrow" w:cs="Tunga"/>
          <w:sz w:val="24"/>
          <w:szCs w:val="24"/>
          <w:lang w:val="en-ZA"/>
        </w:rPr>
      </w:pPr>
    </w:p>
    <w:p w:rsidR="00F27BA8" w:rsidRDefault="00F27BA8" w:rsidP="003F483F">
      <w:pPr>
        <w:spacing w:line="240" w:lineRule="auto"/>
        <w:rPr>
          <w:rFonts w:ascii="Arial Narrow" w:hAnsi="Arial Narrow" w:cs="Tunga"/>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S.G </w:t>
      </w:r>
      <w:proofErr w:type="spellStart"/>
      <w:r>
        <w:rPr>
          <w:rFonts w:ascii="Arial Narrow" w:hAnsi="Arial Narrow" w:cs="Tunga"/>
          <w:b/>
          <w:sz w:val="24"/>
          <w:szCs w:val="24"/>
          <w:lang w:val="en-ZA"/>
        </w:rPr>
        <w:t>Mantashe</w:t>
      </w:r>
      <w:proofErr w:type="spellEnd"/>
    </w:p>
    <w:p w:rsidR="00DC407C"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5D68EE" w:rsidRPr="005D68EE" w:rsidRDefault="005D68EE" w:rsidP="005D68EE">
      <w:pPr>
        <w:pStyle w:val="Default"/>
        <w:spacing w:line="360" w:lineRule="auto"/>
        <w:jc w:val="both"/>
        <w:rPr>
          <w:rFonts w:ascii="Arial Narrow" w:hAnsi="Arial Narrow"/>
          <w:b/>
          <w:bCs/>
        </w:rPr>
      </w:pPr>
      <w:r w:rsidRPr="005D68EE">
        <w:rPr>
          <w:rFonts w:ascii="Arial Narrow" w:hAnsi="Arial Narrow"/>
          <w:b/>
          <w:bCs/>
        </w:rPr>
        <w:lastRenderedPageBreak/>
        <w:t xml:space="preserve">622. Ms P </w:t>
      </w:r>
      <w:proofErr w:type="spellStart"/>
      <w:r w:rsidRPr="005D68EE">
        <w:rPr>
          <w:rFonts w:ascii="Arial Narrow" w:hAnsi="Arial Narrow"/>
          <w:b/>
          <w:bCs/>
        </w:rPr>
        <w:t>Madokwe</w:t>
      </w:r>
      <w:proofErr w:type="spellEnd"/>
      <w:r w:rsidRPr="005D68EE">
        <w:rPr>
          <w:rFonts w:ascii="Arial Narrow" w:hAnsi="Arial Narrow"/>
          <w:b/>
          <w:bCs/>
        </w:rPr>
        <w:t xml:space="preserve"> (EFF) to ask the Minister of Mineral Resources and Energy:</w:t>
      </w:r>
    </w:p>
    <w:p w:rsidR="005D68EE" w:rsidRDefault="005D68EE" w:rsidP="005D68EE">
      <w:pPr>
        <w:pStyle w:val="Default"/>
        <w:spacing w:line="360" w:lineRule="auto"/>
        <w:jc w:val="both"/>
        <w:rPr>
          <w:rFonts w:ascii="Arial Narrow" w:hAnsi="Arial Narrow"/>
          <w:b/>
          <w:bCs/>
        </w:rPr>
      </w:pPr>
    </w:p>
    <w:p w:rsidR="00BA6ED2" w:rsidRPr="005D68EE" w:rsidRDefault="005D68EE" w:rsidP="005D68EE">
      <w:pPr>
        <w:pStyle w:val="Default"/>
        <w:spacing w:line="360" w:lineRule="auto"/>
        <w:jc w:val="both"/>
        <w:rPr>
          <w:rFonts w:ascii="Arial Narrow" w:hAnsi="Arial Narrow"/>
          <w:bCs/>
        </w:rPr>
      </w:pPr>
      <w:r w:rsidRPr="005D68EE">
        <w:rPr>
          <w:rFonts w:ascii="Arial Narrow" w:hAnsi="Arial Narrow"/>
          <w:bCs/>
        </w:rPr>
        <w:t>Given that departmental entities are stuck in litigation matters that were started by persons who are no longer in his department and have never been held accountable, what (a) is the (</w:t>
      </w:r>
      <w:proofErr w:type="spellStart"/>
      <w:r w:rsidRPr="005D68EE">
        <w:rPr>
          <w:rFonts w:ascii="Arial Narrow" w:hAnsi="Arial Narrow"/>
          <w:bCs/>
        </w:rPr>
        <w:t>i</w:t>
      </w:r>
      <w:proofErr w:type="spellEnd"/>
      <w:r w:rsidRPr="005D68EE">
        <w:rPr>
          <w:rFonts w:ascii="Arial Narrow" w:hAnsi="Arial Narrow"/>
          <w:bCs/>
        </w:rPr>
        <w:t>) breakdown of all legal matters against the various entities of his department and (ii) cost to the taxpayer in each case and (b) are the reasons that his department has not, to date, used its own internal processes against those individuals who offset the specified cases, such that they are personally liable for the specified legal costs? NW738E</w:t>
      </w:r>
    </w:p>
    <w:p w:rsidR="005D68EE" w:rsidRDefault="005D68EE" w:rsidP="00BA6ED2">
      <w:pPr>
        <w:pStyle w:val="Default"/>
        <w:spacing w:line="360" w:lineRule="auto"/>
        <w:jc w:val="both"/>
        <w:rPr>
          <w:rFonts w:ascii="Arial Narrow" w:hAnsi="Arial Narrow"/>
          <w:b/>
          <w:bCs/>
        </w:rPr>
      </w:pPr>
    </w:p>
    <w:p w:rsidR="00BA6ED2" w:rsidRDefault="00BA6ED2" w:rsidP="00BA6ED2">
      <w:pPr>
        <w:pStyle w:val="Default"/>
        <w:spacing w:line="360" w:lineRule="auto"/>
        <w:jc w:val="both"/>
        <w:rPr>
          <w:rFonts w:ascii="Arial Narrow" w:hAnsi="Arial Narrow"/>
          <w:b/>
          <w:bCs/>
        </w:rPr>
      </w:pPr>
      <w:r>
        <w:rPr>
          <w:rFonts w:ascii="Arial Narrow" w:hAnsi="Arial Narrow"/>
          <w:b/>
          <w:bCs/>
        </w:rPr>
        <w:t xml:space="preserve">Reply </w:t>
      </w:r>
    </w:p>
    <w:p w:rsidR="0058003C" w:rsidRDefault="0058003C" w:rsidP="00E82F17">
      <w:pPr>
        <w:pStyle w:val="Default"/>
        <w:spacing w:line="360" w:lineRule="auto"/>
        <w:jc w:val="both"/>
        <w:rPr>
          <w:rFonts w:ascii="Arial Narrow" w:hAnsi="Arial Narrow"/>
          <w:bCs/>
        </w:rPr>
      </w:pPr>
    </w:p>
    <w:tbl>
      <w:tblPr>
        <w:tblStyle w:val="TableGrid"/>
        <w:tblW w:w="9918" w:type="dxa"/>
        <w:tblLook w:val="04A0"/>
      </w:tblPr>
      <w:tblGrid>
        <w:gridCol w:w="1058"/>
        <w:gridCol w:w="3615"/>
        <w:gridCol w:w="2092"/>
        <w:gridCol w:w="3153"/>
      </w:tblGrid>
      <w:tr w:rsidR="0058003C" w:rsidTr="00D40800">
        <w:tc>
          <w:tcPr>
            <w:tcW w:w="1058" w:type="dxa"/>
          </w:tcPr>
          <w:p w:rsidR="0058003C" w:rsidRPr="00D40800" w:rsidRDefault="0058003C" w:rsidP="00E82F17">
            <w:pPr>
              <w:pStyle w:val="Default"/>
              <w:spacing w:line="360" w:lineRule="auto"/>
              <w:jc w:val="both"/>
              <w:rPr>
                <w:rFonts w:ascii="Arial Narrow" w:hAnsi="Arial Narrow"/>
                <w:b/>
                <w:bCs/>
              </w:rPr>
            </w:pPr>
            <w:bookmarkStart w:id="0" w:name="_Hlk66427797"/>
            <w:r w:rsidRPr="00D40800">
              <w:rPr>
                <w:rFonts w:ascii="Arial Narrow" w:hAnsi="Arial Narrow"/>
                <w:b/>
                <w:bCs/>
              </w:rPr>
              <w:t>ENTITY</w:t>
            </w:r>
          </w:p>
        </w:tc>
        <w:tc>
          <w:tcPr>
            <w:tcW w:w="3615" w:type="dxa"/>
          </w:tcPr>
          <w:p w:rsidR="0058003C" w:rsidRPr="00D40800" w:rsidRDefault="0058003C" w:rsidP="00E82F17">
            <w:pPr>
              <w:pStyle w:val="Default"/>
              <w:spacing w:line="360" w:lineRule="auto"/>
              <w:jc w:val="both"/>
              <w:rPr>
                <w:rFonts w:ascii="Arial Narrow" w:hAnsi="Arial Narrow"/>
                <w:b/>
                <w:bCs/>
              </w:rPr>
            </w:pPr>
            <w:r w:rsidRPr="00D40800">
              <w:rPr>
                <w:rFonts w:ascii="Arial Narrow" w:hAnsi="Arial Narrow"/>
                <w:b/>
                <w:bCs/>
              </w:rPr>
              <w:t>what (a) is the (</w:t>
            </w:r>
            <w:proofErr w:type="spellStart"/>
            <w:r w:rsidRPr="00D40800">
              <w:rPr>
                <w:rFonts w:ascii="Arial Narrow" w:hAnsi="Arial Narrow"/>
                <w:b/>
                <w:bCs/>
              </w:rPr>
              <w:t>i</w:t>
            </w:r>
            <w:proofErr w:type="spellEnd"/>
            <w:r w:rsidRPr="00D40800">
              <w:rPr>
                <w:rFonts w:ascii="Arial Narrow" w:hAnsi="Arial Narrow"/>
                <w:b/>
                <w:bCs/>
              </w:rPr>
              <w:t>) breakdown of all legal matters against the various entities of his department</w:t>
            </w:r>
          </w:p>
        </w:tc>
        <w:tc>
          <w:tcPr>
            <w:tcW w:w="2092" w:type="dxa"/>
          </w:tcPr>
          <w:p w:rsidR="0058003C" w:rsidRPr="00D40800" w:rsidRDefault="0058003C" w:rsidP="00E82F17">
            <w:pPr>
              <w:pStyle w:val="Default"/>
              <w:spacing w:line="360" w:lineRule="auto"/>
              <w:jc w:val="both"/>
              <w:rPr>
                <w:rFonts w:ascii="Arial Narrow" w:hAnsi="Arial Narrow"/>
                <w:b/>
                <w:bCs/>
              </w:rPr>
            </w:pPr>
            <w:r w:rsidRPr="00D40800">
              <w:rPr>
                <w:rFonts w:ascii="Arial Narrow" w:hAnsi="Arial Narrow"/>
                <w:b/>
                <w:bCs/>
              </w:rPr>
              <w:t>(a)(ii) cost to the taxpayer in each case</w:t>
            </w:r>
          </w:p>
        </w:tc>
        <w:tc>
          <w:tcPr>
            <w:tcW w:w="3153" w:type="dxa"/>
          </w:tcPr>
          <w:p w:rsidR="0058003C" w:rsidRPr="00D40800" w:rsidRDefault="0058003C" w:rsidP="00E82F17">
            <w:pPr>
              <w:pStyle w:val="Default"/>
              <w:spacing w:line="360" w:lineRule="auto"/>
              <w:jc w:val="both"/>
              <w:rPr>
                <w:rFonts w:ascii="Arial Narrow" w:hAnsi="Arial Narrow"/>
                <w:b/>
                <w:bCs/>
              </w:rPr>
            </w:pPr>
            <w:r w:rsidRPr="00D40800">
              <w:rPr>
                <w:rFonts w:ascii="Arial Narrow" w:hAnsi="Arial Narrow"/>
                <w:b/>
                <w:bCs/>
              </w:rPr>
              <w:t>(b) are the reasons that his department has not, to date, used its own internal processes against those individuals who offset the specified cases, such that they are personally liable for the specified legal costs</w:t>
            </w:r>
          </w:p>
        </w:tc>
      </w:tr>
      <w:bookmarkEnd w:id="0"/>
      <w:tr w:rsidR="0058003C" w:rsidTr="00D40800">
        <w:tc>
          <w:tcPr>
            <w:tcW w:w="1058" w:type="dxa"/>
          </w:tcPr>
          <w:p w:rsidR="0058003C" w:rsidRDefault="0058003C" w:rsidP="00E82F17">
            <w:pPr>
              <w:pStyle w:val="Default"/>
              <w:spacing w:line="360" w:lineRule="auto"/>
              <w:jc w:val="both"/>
              <w:rPr>
                <w:rFonts w:ascii="Arial Narrow" w:hAnsi="Arial Narrow"/>
                <w:bCs/>
              </w:rPr>
            </w:pPr>
            <w:r>
              <w:rPr>
                <w:rFonts w:ascii="Arial Narrow" w:hAnsi="Arial Narrow"/>
                <w:bCs/>
              </w:rPr>
              <w:t>NECSA</w:t>
            </w:r>
          </w:p>
        </w:tc>
        <w:tc>
          <w:tcPr>
            <w:tcW w:w="3615" w:type="dxa"/>
          </w:tcPr>
          <w:p w:rsidR="00D40800" w:rsidRPr="00D40800" w:rsidRDefault="00D40800" w:rsidP="00D40800">
            <w:pPr>
              <w:spacing w:line="360" w:lineRule="auto"/>
              <w:jc w:val="both"/>
              <w:rPr>
                <w:rFonts w:ascii="Arial Narrow" w:hAnsi="Arial Narrow" w:cs="Arial"/>
                <w:color w:val="000000" w:themeColor="text1"/>
                <w:sz w:val="24"/>
                <w:szCs w:val="24"/>
              </w:rPr>
            </w:pPr>
            <w:r w:rsidRPr="00D40800">
              <w:rPr>
                <w:rFonts w:ascii="Arial Narrow" w:hAnsi="Arial Narrow" w:cs="Arial"/>
                <w:color w:val="000000" w:themeColor="text1"/>
                <w:sz w:val="24"/>
                <w:szCs w:val="24"/>
              </w:rPr>
              <w:t xml:space="preserve">On or about 12 August 2019, Mr </w:t>
            </w:r>
            <w:proofErr w:type="spellStart"/>
            <w:r w:rsidRPr="00D40800">
              <w:rPr>
                <w:rFonts w:ascii="Arial Narrow" w:hAnsi="Arial Narrow" w:cs="Arial"/>
                <w:color w:val="000000" w:themeColor="text1"/>
                <w:sz w:val="24"/>
                <w:szCs w:val="24"/>
              </w:rPr>
              <w:t>Vusi</w:t>
            </w:r>
            <w:proofErr w:type="spellEnd"/>
            <w:r w:rsidRPr="00D40800">
              <w:rPr>
                <w:rFonts w:ascii="Arial Narrow" w:hAnsi="Arial Narrow" w:cs="Arial"/>
                <w:color w:val="000000" w:themeColor="text1"/>
                <w:sz w:val="24"/>
                <w:szCs w:val="24"/>
              </w:rPr>
              <w:t xml:space="preserve"> </w:t>
            </w:r>
            <w:proofErr w:type="spellStart"/>
            <w:r w:rsidRPr="00D40800">
              <w:rPr>
                <w:rFonts w:ascii="Arial Narrow" w:hAnsi="Arial Narrow" w:cs="Arial"/>
                <w:color w:val="000000" w:themeColor="text1"/>
                <w:sz w:val="24"/>
                <w:szCs w:val="24"/>
              </w:rPr>
              <w:t>Malebana</w:t>
            </w:r>
            <w:proofErr w:type="spellEnd"/>
            <w:r w:rsidRPr="00D40800">
              <w:rPr>
                <w:rFonts w:ascii="Arial Narrow" w:hAnsi="Arial Narrow" w:cs="Arial"/>
                <w:color w:val="000000" w:themeColor="text1"/>
                <w:sz w:val="24"/>
                <w:szCs w:val="24"/>
              </w:rPr>
              <w:t xml:space="preserve">, erstwhile </w:t>
            </w:r>
            <w:proofErr w:type="spellStart"/>
            <w:r w:rsidRPr="00D40800">
              <w:rPr>
                <w:rFonts w:ascii="Arial Narrow" w:hAnsi="Arial Narrow" w:cs="Arial"/>
                <w:color w:val="000000" w:themeColor="text1"/>
                <w:sz w:val="24"/>
                <w:szCs w:val="24"/>
              </w:rPr>
              <w:t>Necsa</w:t>
            </w:r>
            <w:proofErr w:type="spellEnd"/>
            <w:r w:rsidRPr="00D40800">
              <w:rPr>
                <w:rFonts w:ascii="Arial Narrow" w:hAnsi="Arial Narrow" w:cs="Arial"/>
                <w:color w:val="000000" w:themeColor="text1"/>
                <w:sz w:val="24"/>
                <w:szCs w:val="24"/>
              </w:rPr>
              <w:t xml:space="preserve"> Chief Legal Advisor filed an urgent application seeking a declaratory and interdicting order setting aside his suspension and stopping the disciplinary proceeding against him. The Labour Court ruled that the suspension of Mr. Malebana by the South Africa Nuclear Energy Corporation (</w:t>
            </w:r>
            <w:proofErr w:type="spellStart"/>
            <w:r w:rsidRPr="00D40800">
              <w:rPr>
                <w:rFonts w:ascii="Arial Narrow" w:hAnsi="Arial Narrow" w:cs="Arial"/>
                <w:color w:val="000000" w:themeColor="text1"/>
                <w:sz w:val="24"/>
                <w:szCs w:val="24"/>
              </w:rPr>
              <w:t>Necsa</w:t>
            </w:r>
            <w:proofErr w:type="spellEnd"/>
            <w:r w:rsidRPr="00D40800">
              <w:rPr>
                <w:rFonts w:ascii="Arial Narrow" w:hAnsi="Arial Narrow" w:cs="Arial"/>
                <w:color w:val="000000" w:themeColor="text1"/>
                <w:sz w:val="24"/>
                <w:szCs w:val="24"/>
              </w:rPr>
              <w:t>) was declared to be unlawful and constitutes an occupational detriment.</w:t>
            </w:r>
          </w:p>
          <w:p w:rsidR="0058003C" w:rsidRPr="00D40800" w:rsidRDefault="0058003C" w:rsidP="00D40800">
            <w:pPr>
              <w:pStyle w:val="Default"/>
              <w:spacing w:line="360" w:lineRule="auto"/>
              <w:jc w:val="both"/>
              <w:rPr>
                <w:rFonts w:ascii="Arial Narrow" w:hAnsi="Arial Narrow"/>
                <w:bCs/>
              </w:rPr>
            </w:pPr>
          </w:p>
        </w:tc>
        <w:tc>
          <w:tcPr>
            <w:tcW w:w="2092" w:type="dxa"/>
          </w:tcPr>
          <w:p w:rsidR="00D40800" w:rsidRPr="00D40800" w:rsidRDefault="00D40800" w:rsidP="00D40800">
            <w:pPr>
              <w:spacing w:line="360" w:lineRule="auto"/>
              <w:jc w:val="both"/>
              <w:rPr>
                <w:rFonts w:ascii="Arial Narrow" w:hAnsi="Arial Narrow" w:cs="Arial"/>
                <w:color w:val="000000" w:themeColor="text1"/>
                <w:sz w:val="24"/>
                <w:szCs w:val="24"/>
              </w:rPr>
            </w:pPr>
            <w:proofErr w:type="spellStart"/>
            <w:r w:rsidRPr="00D40800">
              <w:rPr>
                <w:rFonts w:ascii="Arial Narrow" w:hAnsi="Arial Narrow" w:cs="Arial"/>
                <w:color w:val="000000" w:themeColor="text1"/>
                <w:sz w:val="24"/>
                <w:szCs w:val="24"/>
              </w:rPr>
              <w:t>Necsa</w:t>
            </w:r>
            <w:proofErr w:type="spellEnd"/>
            <w:r w:rsidRPr="00D40800">
              <w:rPr>
                <w:rFonts w:ascii="Arial Narrow" w:hAnsi="Arial Narrow" w:cs="Arial"/>
                <w:color w:val="000000" w:themeColor="text1"/>
                <w:sz w:val="24"/>
                <w:szCs w:val="24"/>
              </w:rPr>
              <w:t xml:space="preserve"> was ordered to pay the costs of Mr. Malebana in pursuing the urgent application, which costs were to include the costs of two (2) counsel. The bill of costs as per the Taxing Master certificate were R352 486.14 which </w:t>
            </w:r>
            <w:proofErr w:type="spellStart"/>
            <w:r w:rsidRPr="00D40800">
              <w:rPr>
                <w:rFonts w:ascii="Arial Narrow" w:hAnsi="Arial Narrow" w:cs="Arial"/>
                <w:color w:val="000000" w:themeColor="text1"/>
                <w:sz w:val="24"/>
                <w:szCs w:val="24"/>
              </w:rPr>
              <w:t>Necsa</w:t>
            </w:r>
            <w:proofErr w:type="spellEnd"/>
            <w:r w:rsidRPr="00D40800">
              <w:rPr>
                <w:rFonts w:ascii="Arial Narrow" w:hAnsi="Arial Narrow" w:cs="Arial"/>
                <w:color w:val="000000" w:themeColor="text1"/>
                <w:sz w:val="24"/>
                <w:szCs w:val="24"/>
              </w:rPr>
              <w:t xml:space="preserve"> honoured in full in January 2021. </w:t>
            </w:r>
          </w:p>
          <w:p w:rsidR="0058003C" w:rsidRPr="00D40800" w:rsidRDefault="0058003C" w:rsidP="00D40800">
            <w:pPr>
              <w:pStyle w:val="Default"/>
              <w:spacing w:line="360" w:lineRule="auto"/>
              <w:jc w:val="both"/>
              <w:rPr>
                <w:rFonts w:ascii="Arial Narrow" w:hAnsi="Arial Narrow"/>
                <w:bCs/>
              </w:rPr>
            </w:pPr>
          </w:p>
        </w:tc>
        <w:tc>
          <w:tcPr>
            <w:tcW w:w="3153" w:type="dxa"/>
          </w:tcPr>
          <w:p w:rsidR="00D40800" w:rsidRPr="00D40800" w:rsidRDefault="00D40800" w:rsidP="00D40800">
            <w:pPr>
              <w:spacing w:line="360" w:lineRule="auto"/>
              <w:jc w:val="both"/>
              <w:rPr>
                <w:rFonts w:ascii="Arial Narrow" w:hAnsi="Arial Narrow" w:cs="Arial"/>
                <w:color w:val="000000" w:themeColor="text1"/>
                <w:sz w:val="24"/>
                <w:szCs w:val="24"/>
                <w:lang w:val="en-US"/>
              </w:rPr>
            </w:pPr>
            <w:r w:rsidRPr="00D40800">
              <w:rPr>
                <w:rFonts w:ascii="Arial Narrow" w:hAnsi="Arial Narrow" w:cs="Arial"/>
                <w:color w:val="000000" w:themeColor="text1"/>
                <w:sz w:val="24"/>
                <w:szCs w:val="24"/>
              </w:rPr>
              <w:lastRenderedPageBreak/>
              <w:t xml:space="preserve">Following the court interdict, Mr. Malebana was subjected to a disciplinary hearing and eventually dismissed. He took the matter to the CCMA whereby the CCMA ordered that his dismissal was procedurally and substantively unfair and awarded six months compensation amounting to </w:t>
            </w:r>
            <w:r w:rsidRPr="00D40800">
              <w:rPr>
                <w:rFonts w:ascii="Arial Narrow" w:hAnsi="Arial Narrow" w:cs="Arial"/>
                <w:color w:val="000000" w:themeColor="text1"/>
                <w:sz w:val="24"/>
                <w:szCs w:val="24"/>
                <w:lang w:val="en-US"/>
              </w:rPr>
              <w:t>R679 444.86.</w:t>
            </w:r>
          </w:p>
          <w:p w:rsidR="00D40800" w:rsidRPr="00D40800" w:rsidRDefault="00D40800" w:rsidP="00D40800">
            <w:pPr>
              <w:spacing w:line="360" w:lineRule="auto"/>
              <w:jc w:val="both"/>
              <w:rPr>
                <w:rFonts w:ascii="Arial Narrow" w:hAnsi="Arial Narrow" w:cs="Arial"/>
                <w:color w:val="000000" w:themeColor="text1"/>
                <w:sz w:val="24"/>
                <w:szCs w:val="24"/>
              </w:rPr>
            </w:pPr>
          </w:p>
          <w:p w:rsidR="0058003C" w:rsidRPr="00C80AE3" w:rsidRDefault="00D40800" w:rsidP="00C80AE3">
            <w:pPr>
              <w:spacing w:line="360" w:lineRule="auto"/>
              <w:jc w:val="both"/>
              <w:rPr>
                <w:rFonts w:ascii="Arial Narrow" w:hAnsi="Arial Narrow" w:cs="Arial"/>
                <w:color w:val="000000" w:themeColor="text1"/>
                <w:sz w:val="24"/>
                <w:szCs w:val="24"/>
              </w:rPr>
            </w:pPr>
            <w:r w:rsidRPr="00D40800">
              <w:rPr>
                <w:rFonts w:ascii="Arial Narrow" w:hAnsi="Arial Narrow" w:cs="Arial"/>
                <w:color w:val="000000" w:themeColor="text1"/>
                <w:sz w:val="24"/>
                <w:szCs w:val="24"/>
              </w:rPr>
              <w:t xml:space="preserve">Mr Malebana subsequently </w:t>
            </w:r>
            <w:r w:rsidRPr="00D40800">
              <w:rPr>
                <w:rFonts w:ascii="Arial Narrow" w:hAnsi="Arial Narrow"/>
                <w:color w:val="000000" w:themeColor="text1"/>
                <w:sz w:val="24"/>
                <w:szCs w:val="24"/>
                <w:lang w:val="en-US"/>
              </w:rPr>
              <w:t xml:space="preserve">served </w:t>
            </w:r>
            <w:proofErr w:type="spellStart"/>
            <w:r w:rsidRPr="00D40800">
              <w:rPr>
                <w:rFonts w:ascii="Arial Narrow" w:hAnsi="Arial Narrow"/>
                <w:color w:val="000000" w:themeColor="text1"/>
                <w:sz w:val="24"/>
                <w:szCs w:val="24"/>
                <w:lang w:val="en-US"/>
              </w:rPr>
              <w:t>Necsa</w:t>
            </w:r>
            <w:proofErr w:type="spellEnd"/>
            <w:r w:rsidRPr="00D40800">
              <w:rPr>
                <w:rFonts w:ascii="Arial Narrow" w:hAnsi="Arial Narrow"/>
                <w:color w:val="000000" w:themeColor="text1"/>
                <w:sz w:val="24"/>
                <w:szCs w:val="24"/>
                <w:lang w:val="en-US"/>
              </w:rPr>
              <w:t xml:space="preserve"> with a Notice of Motion together with the founding </w:t>
            </w:r>
            <w:r w:rsidRPr="00D40800">
              <w:rPr>
                <w:rFonts w:ascii="Arial Narrow" w:hAnsi="Arial Narrow"/>
                <w:color w:val="000000" w:themeColor="text1"/>
                <w:sz w:val="24"/>
                <w:szCs w:val="24"/>
                <w:lang w:val="en-US"/>
              </w:rPr>
              <w:lastRenderedPageBreak/>
              <w:t xml:space="preserve">affidavit on 12 December 2020 in essence outlining his intentions to review the arbitration award issued by CCMA on 26 October 2020.  </w:t>
            </w:r>
          </w:p>
        </w:tc>
      </w:tr>
      <w:tr w:rsidR="0058003C" w:rsidTr="00D40800">
        <w:tc>
          <w:tcPr>
            <w:tcW w:w="1058" w:type="dxa"/>
          </w:tcPr>
          <w:p w:rsidR="0058003C" w:rsidRDefault="0058003C" w:rsidP="00E82F17">
            <w:pPr>
              <w:pStyle w:val="Default"/>
              <w:spacing w:line="360" w:lineRule="auto"/>
              <w:jc w:val="both"/>
              <w:rPr>
                <w:rFonts w:ascii="Arial Narrow" w:hAnsi="Arial Narrow"/>
                <w:bCs/>
              </w:rPr>
            </w:pPr>
            <w:r>
              <w:rPr>
                <w:rFonts w:ascii="Arial Narrow" w:hAnsi="Arial Narrow"/>
                <w:bCs/>
              </w:rPr>
              <w:lastRenderedPageBreak/>
              <w:t>CGS</w:t>
            </w:r>
          </w:p>
        </w:tc>
        <w:tc>
          <w:tcPr>
            <w:tcW w:w="3615" w:type="dxa"/>
          </w:tcPr>
          <w:p w:rsidR="0058003C" w:rsidRDefault="00FD7304" w:rsidP="00FD7304">
            <w:pPr>
              <w:pStyle w:val="Default"/>
              <w:spacing w:line="360" w:lineRule="auto"/>
              <w:jc w:val="both"/>
              <w:rPr>
                <w:rFonts w:ascii="Arial Narrow" w:hAnsi="Arial Narrow"/>
                <w:bCs/>
              </w:rPr>
            </w:pPr>
            <w:r w:rsidRPr="00FD7304">
              <w:rPr>
                <w:rFonts w:ascii="Arial Narrow" w:hAnsi="Arial Narrow"/>
                <w:bCs/>
              </w:rPr>
              <w:t xml:space="preserve">The Council for Geoscience has no pending legal matters emanating from the </w:t>
            </w:r>
            <w:proofErr w:type="gramStart"/>
            <w:r w:rsidRPr="00FD7304">
              <w:rPr>
                <w:rFonts w:ascii="Arial Narrow" w:hAnsi="Arial Narrow"/>
                <w:bCs/>
              </w:rPr>
              <w:t xml:space="preserve">scenario </w:t>
            </w:r>
            <w:r>
              <w:rPr>
                <w:rFonts w:ascii="Arial Narrow" w:hAnsi="Arial Narrow"/>
                <w:bCs/>
              </w:rPr>
              <w:t xml:space="preserve"> </w:t>
            </w:r>
            <w:r w:rsidRPr="00FD7304">
              <w:rPr>
                <w:rFonts w:ascii="Arial Narrow" w:hAnsi="Arial Narrow"/>
                <w:bCs/>
              </w:rPr>
              <w:t>outlined</w:t>
            </w:r>
            <w:proofErr w:type="gramEnd"/>
            <w:r w:rsidRPr="00FD7304">
              <w:rPr>
                <w:rFonts w:ascii="Arial Narrow" w:hAnsi="Arial Narrow"/>
                <w:bCs/>
              </w:rPr>
              <w:t xml:space="preserve"> in the question.</w:t>
            </w:r>
          </w:p>
        </w:tc>
        <w:tc>
          <w:tcPr>
            <w:tcW w:w="2092" w:type="dxa"/>
          </w:tcPr>
          <w:p w:rsidR="0058003C" w:rsidRDefault="00FD7304" w:rsidP="00E82F17">
            <w:pPr>
              <w:pStyle w:val="Default"/>
              <w:spacing w:line="360" w:lineRule="auto"/>
              <w:jc w:val="both"/>
              <w:rPr>
                <w:rFonts w:ascii="Arial Narrow" w:hAnsi="Arial Narrow"/>
                <w:bCs/>
              </w:rPr>
            </w:pPr>
            <w:r>
              <w:rPr>
                <w:rFonts w:ascii="Arial Narrow" w:hAnsi="Arial Narrow"/>
                <w:bCs/>
              </w:rPr>
              <w:t>N/A</w:t>
            </w:r>
          </w:p>
        </w:tc>
        <w:tc>
          <w:tcPr>
            <w:tcW w:w="3153" w:type="dxa"/>
          </w:tcPr>
          <w:p w:rsidR="0058003C" w:rsidRDefault="00FD7304" w:rsidP="00E82F17">
            <w:pPr>
              <w:pStyle w:val="Default"/>
              <w:spacing w:line="360" w:lineRule="auto"/>
              <w:jc w:val="both"/>
              <w:rPr>
                <w:rFonts w:ascii="Arial Narrow" w:hAnsi="Arial Narrow"/>
                <w:bCs/>
              </w:rPr>
            </w:pPr>
            <w:r>
              <w:rPr>
                <w:rFonts w:ascii="Arial Narrow" w:hAnsi="Arial Narrow"/>
                <w:bCs/>
              </w:rPr>
              <w:t>N/A</w:t>
            </w:r>
          </w:p>
        </w:tc>
      </w:tr>
      <w:tr w:rsidR="0058003C" w:rsidTr="00D40800">
        <w:tc>
          <w:tcPr>
            <w:tcW w:w="1058" w:type="dxa"/>
          </w:tcPr>
          <w:p w:rsidR="0058003C" w:rsidRDefault="0058003C" w:rsidP="00E82F17">
            <w:pPr>
              <w:pStyle w:val="Default"/>
              <w:spacing w:line="360" w:lineRule="auto"/>
              <w:jc w:val="both"/>
              <w:rPr>
                <w:rFonts w:ascii="Arial Narrow" w:hAnsi="Arial Narrow"/>
                <w:bCs/>
              </w:rPr>
            </w:pPr>
            <w:r>
              <w:rPr>
                <w:rFonts w:ascii="Arial Narrow" w:hAnsi="Arial Narrow"/>
                <w:bCs/>
              </w:rPr>
              <w:t>MINTEK</w:t>
            </w:r>
          </w:p>
        </w:tc>
        <w:tc>
          <w:tcPr>
            <w:tcW w:w="3615" w:type="dxa"/>
          </w:tcPr>
          <w:p w:rsidR="0058003C" w:rsidRDefault="00D40800" w:rsidP="00E82F17">
            <w:pPr>
              <w:pStyle w:val="Default"/>
              <w:spacing w:line="360" w:lineRule="auto"/>
              <w:jc w:val="both"/>
              <w:rPr>
                <w:rFonts w:ascii="Arial Narrow" w:hAnsi="Arial Narrow"/>
                <w:bCs/>
              </w:rPr>
            </w:pPr>
            <w:proofErr w:type="spellStart"/>
            <w:r w:rsidRPr="00934F22">
              <w:rPr>
                <w:rFonts w:ascii="Arial Narrow" w:hAnsi="Arial Narrow"/>
                <w:bCs/>
              </w:rPr>
              <w:t>Mintek</w:t>
            </w:r>
            <w:proofErr w:type="spellEnd"/>
            <w:r w:rsidRPr="00934F22">
              <w:rPr>
                <w:rFonts w:ascii="Arial Narrow" w:hAnsi="Arial Narrow"/>
                <w:bCs/>
              </w:rPr>
              <w:t xml:space="preserve"> does not </w:t>
            </w:r>
            <w:r>
              <w:rPr>
                <w:rFonts w:ascii="Arial Narrow" w:hAnsi="Arial Narrow"/>
                <w:bCs/>
              </w:rPr>
              <w:t>have any litigation matters that were started by persons who are no longer at the company. The only legal matters currently active relates to labour issues such as unfair dismissal and unfair labour practice.</w:t>
            </w:r>
          </w:p>
        </w:tc>
        <w:tc>
          <w:tcPr>
            <w:tcW w:w="2092" w:type="dxa"/>
          </w:tcPr>
          <w:p w:rsidR="0058003C" w:rsidRDefault="00D40800" w:rsidP="00E82F17">
            <w:pPr>
              <w:pStyle w:val="Default"/>
              <w:spacing w:line="360" w:lineRule="auto"/>
              <w:jc w:val="both"/>
              <w:rPr>
                <w:rFonts w:ascii="Arial Narrow" w:hAnsi="Arial Narrow"/>
                <w:bCs/>
              </w:rPr>
            </w:pPr>
            <w:r>
              <w:rPr>
                <w:rFonts w:ascii="Arial Narrow" w:hAnsi="Arial Narrow"/>
                <w:bCs/>
              </w:rPr>
              <w:t>N/A</w:t>
            </w:r>
          </w:p>
        </w:tc>
        <w:tc>
          <w:tcPr>
            <w:tcW w:w="3153" w:type="dxa"/>
          </w:tcPr>
          <w:p w:rsidR="0058003C" w:rsidRDefault="00D40800" w:rsidP="00E82F17">
            <w:pPr>
              <w:pStyle w:val="Default"/>
              <w:spacing w:line="360" w:lineRule="auto"/>
              <w:jc w:val="both"/>
              <w:rPr>
                <w:rFonts w:ascii="Arial Narrow" w:hAnsi="Arial Narrow"/>
                <w:bCs/>
              </w:rPr>
            </w:pPr>
            <w:r>
              <w:rPr>
                <w:rFonts w:ascii="Arial Narrow" w:hAnsi="Arial Narrow"/>
                <w:bCs/>
              </w:rPr>
              <w:t>N/A</w:t>
            </w:r>
          </w:p>
        </w:tc>
      </w:tr>
      <w:tr w:rsidR="0058003C" w:rsidTr="00D40800">
        <w:tc>
          <w:tcPr>
            <w:tcW w:w="1058" w:type="dxa"/>
          </w:tcPr>
          <w:p w:rsidR="0058003C" w:rsidRDefault="0058003C" w:rsidP="00E82F17">
            <w:pPr>
              <w:pStyle w:val="Default"/>
              <w:spacing w:line="360" w:lineRule="auto"/>
              <w:jc w:val="both"/>
              <w:rPr>
                <w:rFonts w:ascii="Arial Narrow" w:hAnsi="Arial Narrow"/>
                <w:bCs/>
              </w:rPr>
            </w:pPr>
            <w:r>
              <w:rPr>
                <w:rFonts w:ascii="Arial Narrow" w:hAnsi="Arial Narrow"/>
                <w:bCs/>
              </w:rPr>
              <w:t>NNR</w:t>
            </w:r>
          </w:p>
        </w:tc>
        <w:tc>
          <w:tcPr>
            <w:tcW w:w="3615" w:type="dxa"/>
          </w:tcPr>
          <w:p w:rsidR="0058003C" w:rsidRDefault="009B3B94" w:rsidP="00E82F17">
            <w:pPr>
              <w:pStyle w:val="Default"/>
              <w:spacing w:line="360" w:lineRule="auto"/>
              <w:jc w:val="both"/>
              <w:rPr>
                <w:rFonts w:ascii="Arial Narrow" w:hAnsi="Arial Narrow"/>
                <w:bCs/>
              </w:rPr>
            </w:pPr>
            <w:r>
              <w:rPr>
                <w:rFonts w:ascii="Arial Narrow" w:hAnsi="Arial Narrow"/>
                <w:bCs/>
              </w:rPr>
              <w:t>No outstanding litigation against NNR</w:t>
            </w:r>
          </w:p>
        </w:tc>
        <w:tc>
          <w:tcPr>
            <w:tcW w:w="2092" w:type="dxa"/>
          </w:tcPr>
          <w:p w:rsidR="0058003C" w:rsidRDefault="009B3B94" w:rsidP="00E82F17">
            <w:pPr>
              <w:pStyle w:val="Default"/>
              <w:spacing w:line="360" w:lineRule="auto"/>
              <w:jc w:val="both"/>
              <w:rPr>
                <w:rFonts w:ascii="Arial Narrow" w:hAnsi="Arial Narrow"/>
                <w:bCs/>
              </w:rPr>
            </w:pPr>
            <w:r>
              <w:rPr>
                <w:rFonts w:ascii="Arial Narrow" w:hAnsi="Arial Narrow"/>
                <w:bCs/>
              </w:rPr>
              <w:t>N/A</w:t>
            </w:r>
          </w:p>
        </w:tc>
        <w:tc>
          <w:tcPr>
            <w:tcW w:w="3153" w:type="dxa"/>
          </w:tcPr>
          <w:p w:rsidR="0058003C" w:rsidRDefault="009B3B94" w:rsidP="00E82F17">
            <w:pPr>
              <w:pStyle w:val="Default"/>
              <w:spacing w:line="360" w:lineRule="auto"/>
              <w:jc w:val="both"/>
              <w:rPr>
                <w:rFonts w:ascii="Arial Narrow" w:hAnsi="Arial Narrow"/>
                <w:bCs/>
              </w:rPr>
            </w:pPr>
            <w:r>
              <w:rPr>
                <w:rFonts w:ascii="Arial Narrow" w:hAnsi="Arial Narrow"/>
                <w:bCs/>
              </w:rPr>
              <w:t>N/A</w:t>
            </w:r>
          </w:p>
        </w:tc>
      </w:tr>
      <w:tr w:rsidR="0058003C" w:rsidTr="00D40800">
        <w:tc>
          <w:tcPr>
            <w:tcW w:w="1058" w:type="dxa"/>
          </w:tcPr>
          <w:p w:rsidR="0058003C" w:rsidRDefault="0058003C" w:rsidP="00E82F17">
            <w:pPr>
              <w:pStyle w:val="Default"/>
              <w:spacing w:line="360" w:lineRule="auto"/>
              <w:jc w:val="both"/>
              <w:rPr>
                <w:rFonts w:ascii="Arial Narrow" w:hAnsi="Arial Narrow"/>
                <w:bCs/>
              </w:rPr>
            </w:pPr>
            <w:r>
              <w:rPr>
                <w:rFonts w:ascii="Arial Narrow" w:hAnsi="Arial Narrow"/>
                <w:bCs/>
              </w:rPr>
              <w:t>NRWDI</w:t>
            </w:r>
          </w:p>
        </w:tc>
        <w:tc>
          <w:tcPr>
            <w:tcW w:w="3615" w:type="dxa"/>
          </w:tcPr>
          <w:p w:rsidR="0058003C" w:rsidRPr="00C80AE3" w:rsidRDefault="00D40800" w:rsidP="00E82F17">
            <w:pPr>
              <w:pStyle w:val="Default"/>
              <w:spacing w:line="360" w:lineRule="auto"/>
              <w:jc w:val="both"/>
              <w:rPr>
                <w:rFonts w:ascii="Arial Narrow" w:hAnsi="Arial Narrow"/>
              </w:rPr>
            </w:pPr>
            <w:r>
              <w:rPr>
                <w:rFonts w:ascii="Arial Narrow" w:hAnsi="Arial Narrow"/>
                <w:bCs/>
              </w:rPr>
              <w:t>The National Radioactive Waste Disposal Institute (NRWDI) is not involve in any litigation matters and therefore the questions are not applicable to NRWDI.</w:t>
            </w:r>
          </w:p>
        </w:tc>
        <w:tc>
          <w:tcPr>
            <w:tcW w:w="2092" w:type="dxa"/>
          </w:tcPr>
          <w:p w:rsidR="0058003C" w:rsidRDefault="00D40800" w:rsidP="00E82F17">
            <w:pPr>
              <w:pStyle w:val="Default"/>
              <w:spacing w:line="360" w:lineRule="auto"/>
              <w:jc w:val="both"/>
              <w:rPr>
                <w:rFonts w:ascii="Arial Narrow" w:hAnsi="Arial Narrow"/>
                <w:bCs/>
              </w:rPr>
            </w:pPr>
            <w:r>
              <w:rPr>
                <w:rFonts w:ascii="Arial Narrow" w:hAnsi="Arial Narrow"/>
                <w:bCs/>
              </w:rPr>
              <w:t>N/A</w:t>
            </w:r>
          </w:p>
        </w:tc>
        <w:tc>
          <w:tcPr>
            <w:tcW w:w="3153" w:type="dxa"/>
          </w:tcPr>
          <w:p w:rsidR="0058003C" w:rsidRDefault="00D40800" w:rsidP="00E82F17">
            <w:pPr>
              <w:pStyle w:val="Default"/>
              <w:spacing w:line="360" w:lineRule="auto"/>
              <w:jc w:val="both"/>
              <w:rPr>
                <w:rFonts w:ascii="Arial Narrow" w:hAnsi="Arial Narrow"/>
                <w:bCs/>
              </w:rPr>
            </w:pPr>
            <w:r>
              <w:rPr>
                <w:rFonts w:ascii="Arial Narrow" w:hAnsi="Arial Narrow"/>
                <w:bCs/>
              </w:rPr>
              <w:t>N/A</w:t>
            </w:r>
          </w:p>
        </w:tc>
      </w:tr>
      <w:tr w:rsidR="0058003C" w:rsidTr="00D40800">
        <w:tc>
          <w:tcPr>
            <w:tcW w:w="1058" w:type="dxa"/>
          </w:tcPr>
          <w:p w:rsidR="0058003C" w:rsidRDefault="0058003C" w:rsidP="00E82F17">
            <w:pPr>
              <w:pStyle w:val="Default"/>
              <w:spacing w:line="360" w:lineRule="auto"/>
              <w:jc w:val="both"/>
              <w:rPr>
                <w:rFonts w:ascii="Arial Narrow" w:hAnsi="Arial Narrow"/>
                <w:bCs/>
              </w:rPr>
            </w:pPr>
            <w:r>
              <w:rPr>
                <w:rFonts w:ascii="Arial Narrow" w:hAnsi="Arial Narrow"/>
                <w:bCs/>
              </w:rPr>
              <w:t>SDT</w:t>
            </w:r>
          </w:p>
        </w:tc>
        <w:tc>
          <w:tcPr>
            <w:tcW w:w="3615" w:type="dxa"/>
          </w:tcPr>
          <w:p w:rsidR="0058003C" w:rsidRDefault="00D40800" w:rsidP="00E82F17">
            <w:pPr>
              <w:pStyle w:val="Default"/>
              <w:spacing w:line="360" w:lineRule="auto"/>
              <w:jc w:val="both"/>
              <w:rPr>
                <w:rFonts w:ascii="Arial Narrow" w:hAnsi="Arial Narrow"/>
                <w:bCs/>
              </w:rPr>
            </w:pPr>
            <w:r>
              <w:rPr>
                <w:rFonts w:ascii="Arial Narrow" w:hAnsi="Arial Narrow"/>
                <w:bCs/>
              </w:rPr>
              <w:t xml:space="preserve">The SDT has no litigation matters at present. No such matters were dealt with in </w:t>
            </w:r>
            <w:r w:rsidR="008E2FD1">
              <w:rPr>
                <w:rFonts w:ascii="Arial Narrow" w:hAnsi="Arial Narrow"/>
                <w:bCs/>
              </w:rPr>
              <w:t xml:space="preserve">the past. Consequently, the entity has incurred no costs in this regard. </w:t>
            </w:r>
          </w:p>
        </w:tc>
        <w:tc>
          <w:tcPr>
            <w:tcW w:w="2092" w:type="dxa"/>
          </w:tcPr>
          <w:p w:rsidR="0058003C" w:rsidRDefault="008E2FD1" w:rsidP="00E82F17">
            <w:pPr>
              <w:pStyle w:val="Default"/>
              <w:spacing w:line="360" w:lineRule="auto"/>
              <w:jc w:val="both"/>
              <w:rPr>
                <w:rFonts w:ascii="Arial Narrow" w:hAnsi="Arial Narrow"/>
                <w:bCs/>
              </w:rPr>
            </w:pPr>
            <w:r>
              <w:rPr>
                <w:rFonts w:ascii="Arial Narrow" w:hAnsi="Arial Narrow"/>
                <w:bCs/>
              </w:rPr>
              <w:t>N/A</w:t>
            </w:r>
          </w:p>
        </w:tc>
        <w:tc>
          <w:tcPr>
            <w:tcW w:w="3153" w:type="dxa"/>
          </w:tcPr>
          <w:p w:rsidR="0058003C" w:rsidRDefault="008E2FD1" w:rsidP="00E82F17">
            <w:pPr>
              <w:pStyle w:val="Default"/>
              <w:spacing w:line="360" w:lineRule="auto"/>
              <w:jc w:val="both"/>
              <w:rPr>
                <w:rFonts w:ascii="Arial Narrow" w:hAnsi="Arial Narrow"/>
                <w:bCs/>
              </w:rPr>
            </w:pPr>
            <w:r>
              <w:rPr>
                <w:rFonts w:ascii="Arial Narrow" w:hAnsi="Arial Narrow"/>
                <w:bCs/>
              </w:rPr>
              <w:t>N/A</w:t>
            </w:r>
          </w:p>
        </w:tc>
      </w:tr>
      <w:tr w:rsidR="0058003C" w:rsidTr="00D40800">
        <w:tc>
          <w:tcPr>
            <w:tcW w:w="1058" w:type="dxa"/>
          </w:tcPr>
          <w:p w:rsidR="0058003C" w:rsidRDefault="0058003C" w:rsidP="00E82F17">
            <w:pPr>
              <w:pStyle w:val="Default"/>
              <w:spacing w:line="360" w:lineRule="auto"/>
              <w:jc w:val="both"/>
              <w:rPr>
                <w:rFonts w:ascii="Arial Narrow" w:hAnsi="Arial Narrow"/>
                <w:bCs/>
              </w:rPr>
            </w:pPr>
            <w:r>
              <w:rPr>
                <w:rFonts w:ascii="Arial Narrow" w:hAnsi="Arial Narrow"/>
                <w:bCs/>
              </w:rPr>
              <w:t>SADPMR</w:t>
            </w:r>
          </w:p>
        </w:tc>
        <w:tc>
          <w:tcPr>
            <w:tcW w:w="3615" w:type="dxa"/>
          </w:tcPr>
          <w:p w:rsidR="0058003C" w:rsidRDefault="00AF3556" w:rsidP="00E82F17">
            <w:pPr>
              <w:pStyle w:val="Default"/>
              <w:spacing w:line="360" w:lineRule="auto"/>
              <w:jc w:val="both"/>
              <w:rPr>
                <w:rFonts w:ascii="Arial Narrow" w:hAnsi="Arial Narrow"/>
                <w:bCs/>
              </w:rPr>
            </w:pPr>
            <w:r>
              <w:rPr>
                <w:rFonts w:ascii="Arial Narrow" w:hAnsi="Arial Narrow"/>
                <w:bCs/>
              </w:rPr>
              <w:t xml:space="preserve">The SADPMR has no former or current employees who were involved in any litigations of which the Regulator was responsible for paying their legal costs. </w:t>
            </w:r>
          </w:p>
        </w:tc>
        <w:tc>
          <w:tcPr>
            <w:tcW w:w="2092" w:type="dxa"/>
          </w:tcPr>
          <w:p w:rsidR="0058003C" w:rsidRDefault="00AF3556" w:rsidP="00E82F17">
            <w:pPr>
              <w:pStyle w:val="Default"/>
              <w:spacing w:line="360" w:lineRule="auto"/>
              <w:jc w:val="both"/>
              <w:rPr>
                <w:rFonts w:ascii="Arial Narrow" w:hAnsi="Arial Narrow"/>
                <w:bCs/>
              </w:rPr>
            </w:pPr>
            <w:r>
              <w:rPr>
                <w:rFonts w:ascii="Arial Narrow" w:hAnsi="Arial Narrow"/>
                <w:bCs/>
              </w:rPr>
              <w:t>N/A</w:t>
            </w:r>
          </w:p>
        </w:tc>
        <w:tc>
          <w:tcPr>
            <w:tcW w:w="3153" w:type="dxa"/>
          </w:tcPr>
          <w:p w:rsidR="0058003C" w:rsidRDefault="00AF3556" w:rsidP="00E82F17">
            <w:pPr>
              <w:pStyle w:val="Default"/>
              <w:spacing w:line="360" w:lineRule="auto"/>
              <w:jc w:val="both"/>
              <w:rPr>
                <w:rFonts w:ascii="Arial Narrow" w:hAnsi="Arial Narrow"/>
                <w:bCs/>
              </w:rPr>
            </w:pPr>
            <w:r>
              <w:rPr>
                <w:rFonts w:ascii="Arial Narrow" w:hAnsi="Arial Narrow"/>
                <w:bCs/>
              </w:rPr>
              <w:t>N/A</w:t>
            </w:r>
          </w:p>
        </w:tc>
      </w:tr>
      <w:tr w:rsidR="0058003C" w:rsidTr="00D40800">
        <w:tc>
          <w:tcPr>
            <w:tcW w:w="1058" w:type="dxa"/>
          </w:tcPr>
          <w:p w:rsidR="0058003C" w:rsidRDefault="0058003C" w:rsidP="00E82F17">
            <w:pPr>
              <w:pStyle w:val="Default"/>
              <w:spacing w:line="360" w:lineRule="auto"/>
              <w:jc w:val="both"/>
              <w:rPr>
                <w:rFonts w:ascii="Arial Narrow" w:hAnsi="Arial Narrow"/>
                <w:bCs/>
              </w:rPr>
            </w:pPr>
            <w:r>
              <w:rPr>
                <w:rFonts w:ascii="Arial Narrow" w:hAnsi="Arial Narrow"/>
                <w:bCs/>
              </w:rPr>
              <w:t>SANEDI</w:t>
            </w:r>
          </w:p>
        </w:tc>
        <w:tc>
          <w:tcPr>
            <w:tcW w:w="3615" w:type="dxa"/>
          </w:tcPr>
          <w:p w:rsidR="0058003C" w:rsidRPr="00671CB7" w:rsidRDefault="00671CB7" w:rsidP="00E82F17">
            <w:pPr>
              <w:pStyle w:val="Default"/>
              <w:spacing w:line="360" w:lineRule="auto"/>
              <w:jc w:val="both"/>
              <w:rPr>
                <w:rFonts w:ascii="Arial Narrow" w:hAnsi="Arial Narrow"/>
                <w:bCs/>
              </w:rPr>
            </w:pPr>
            <w:r w:rsidRPr="00671CB7">
              <w:rPr>
                <w:rFonts w:ascii="Arial Narrow" w:hAnsi="Arial Narrow"/>
              </w:rPr>
              <w:t>SANEDI is currently opposing one labour relation matter</w:t>
            </w:r>
          </w:p>
        </w:tc>
        <w:tc>
          <w:tcPr>
            <w:tcW w:w="2092" w:type="dxa"/>
          </w:tcPr>
          <w:p w:rsidR="0058003C" w:rsidRPr="00671CB7" w:rsidRDefault="004B127D" w:rsidP="00E82F17">
            <w:pPr>
              <w:pStyle w:val="Default"/>
              <w:spacing w:line="360" w:lineRule="auto"/>
              <w:jc w:val="both"/>
              <w:rPr>
                <w:rFonts w:ascii="Arial Narrow" w:hAnsi="Arial Narrow"/>
                <w:bCs/>
              </w:rPr>
            </w:pPr>
            <w:r>
              <w:rPr>
                <w:rFonts w:ascii="Arial Narrow" w:hAnsi="Arial Narrow"/>
                <w:bCs/>
              </w:rPr>
              <w:t>R253,998.25</w:t>
            </w:r>
          </w:p>
        </w:tc>
        <w:tc>
          <w:tcPr>
            <w:tcW w:w="3153" w:type="dxa"/>
          </w:tcPr>
          <w:p w:rsidR="0058003C" w:rsidRPr="00671CB7" w:rsidRDefault="004B127D" w:rsidP="00E82F17">
            <w:pPr>
              <w:pStyle w:val="Default"/>
              <w:spacing w:line="360" w:lineRule="auto"/>
              <w:jc w:val="both"/>
              <w:rPr>
                <w:rFonts w:ascii="Arial Narrow" w:hAnsi="Arial Narrow"/>
                <w:bCs/>
              </w:rPr>
            </w:pPr>
            <w:r>
              <w:rPr>
                <w:rFonts w:ascii="Arial Narrow" w:hAnsi="Arial Narrow"/>
                <w:bCs/>
              </w:rPr>
              <w:t>Matter is still pending</w:t>
            </w:r>
          </w:p>
        </w:tc>
      </w:tr>
    </w:tbl>
    <w:p w:rsidR="001622AB" w:rsidRDefault="001622AB" w:rsidP="00E82F17">
      <w:pPr>
        <w:pStyle w:val="Default"/>
        <w:spacing w:line="360" w:lineRule="auto"/>
        <w:jc w:val="both"/>
        <w:rPr>
          <w:rFonts w:ascii="Arial Narrow" w:hAnsi="Arial Narrow"/>
          <w:b/>
          <w:bCs/>
        </w:rPr>
      </w:pPr>
    </w:p>
    <w:p w:rsidR="001622AB" w:rsidRDefault="001622AB" w:rsidP="00E82F17">
      <w:pPr>
        <w:pStyle w:val="Default"/>
        <w:spacing w:line="360" w:lineRule="auto"/>
        <w:jc w:val="both"/>
        <w:rPr>
          <w:rFonts w:ascii="Arial Narrow" w:hAnsi="Arial Narrow"/>
          <w:b/>
          <w:bCs/>
        </w:rPr>
      </w:pPr>
    </w:p>
    <w:p w:rsidR="00AF3556" w:rsidRDefault="004B127D" w:rsidP="00E82F17">
      <w:pPr>
        <w:pStyle w:val="Default"/>
        <w:spacing w:line="360" w:lineRule="auto"/>
        <w:jc w:val="both"/>
        <w:rPr>
          <w:rFonts w:ascii="Arial Narrow" w:hAnsi="Arial Narrow"/>
          <w:b/>
          <w:bCs/>
        </w:rPr>
      </w:pPr>
      <w:r>
        <w:rPr>
          <w:rFonts w:ascii="Arial Narrow" w:hAnsi="Arial Narrow"/>
          <w:b/>
          <w:bCs/>
        </w:rPr>
        <w:t>CEF (SOC) and its subsidiaries, NERSA and the MHSC responses listed separately belo</w:t>
      </w:r>
      <w:r w:rsidR="00FD7304">
        <w:rPr>
          <w:rFonts w:ascii="Arial Narrow" w:hAnsi="Arial Narrow"/>
          <w:b/>
          <w:bCs/>
        </w:rPr>
        <w:t>w:</w:t>
      </w:r>
    </w:p>
    <w:p w:rsidR="0058003C" w:rsidRDefault="001622AB" w:rsidP="00E82F17">
      <w:pPr>
        <w:pStyle w:val="Default"/>
        <w:spacing w:line="360" w:lineRule="auto"/>
        <w:jc w:val="both"/>
        <w:rPr>
          <w:rFonts w:ascii="Arial Narrow" w:hAnsi="Arial Narrow"/>
          <w:b/>
          <w:bCs/>
        </w:rPr>
      </w:pPr>
      <w:r w:rsidRPr="001622AB">
        <w:rPr>
          <w:rFonts w:ascii="Arial Narrow" w:hAnsi="Arial Narrow"/>
          <w:b/>
          <w:bCs/>
        </w:rPr>
        <w:t>CENTRAL ENERGY FUND</w:t>
      </w:r>
      <w:r>
        <w:rPr>
          <w:rFonts w:ascii="Arial Narrow" w:hAnsi="Arial Narrow"/>
          <w:b/>
          <w:bCs/>
        </w:rPr>
        <w:t xml:space="preserve"> AND SUBSIDIARIES</w:t>
      </w:r>
    </w:p>
    <w:p w:rsidR="001622AB" w:rsidRPr="001622AB" w:rsidRDefault="001622AB" w:rsidP="00E82F17">
      <w:pPr>
        <w:pStyle w:val="Default"/>
        <w:spacing w:line="360" w:lineRule="auto"/>
        <w:jc w:val="both"/>
        <w:rPr>
          <w:rFonts w:ascii="Arial Narrow" w:hAnsi="Arial Narrow"/>
          <w:b/>
          <w:bCs/>
        </w:rPr>
      </w:pPr>
    </w:p>
    <w:tbl>
      <w:tblPr>
        <w:tblStyle w:val="TableGrid1"/>
        <w:tblW w:w="9918" w:type="dxa"/>
        <w:tblLook w:val="04A0"/>
      </w:tblPr>
      <w:tblGrid>
        <w:gridCol w:w="988"/>
        <w:gridCol w:w="3723"/>
        <w:gridCol w:w="2078"/>
        <w:gridCol w:w="3129"/>
      </w:tblGrid>
      <w:tr w:rsidR="001622AB" w:rsidRPr="001622AB" w:rsidTr="001622AB">
        <w:tc>
          <w:tcPr>
            <w:tcW w:w="988" w:type="dxa"/>
          </w:tcPr>
          <w:p w:rsidR="001622AB" w:rsidRPr="001622AB" w:rsidRDefault="001622AB" w:rsidP="001622AB">
            <w:pPr>
              <w:autoSpaceDE w:val="0"/>
              <w:autoSpaceDN w:val="0"/>
              <w:adjustRightInd w:val="0"/>
              <w:spacing w:line="360" w:lineRule="auto"/>
              <w:jc w:val="both"/>
              <w:rPr>
                <w:rFonts w:ascii="Arial Narrow" w:hAnsi="Arial Narrow" w:cs="Times New Roman"/>
                <w:b/>
                <w:bCs/>
                <w:color w:val="000000"/>
                <w:sz w:val="24"/>
                <w:szCs w:val="24"/>
                <w:lang w:val="en-ZA"/>
              </w:rPr>
            </w:pPr>
            <w:r w:rsidRPr="001622AB">
              <w:rPr>
                <w:rFonts w:ascii="Arial Narrow" w:hAnsi="Arial Narrow" w:cs="Times New Roman"/>
                <w:b/>
                <w:bCs/>
                <w:color w:val="000000"/>
                <w:sz w:val="24"/>
                <w:szCs w:val="24"/>
                <w:lang w:val="en-ZA"/>
              </w:rPr>
              <w:t>ENTITY</w:t>
            </w:r>
          </w:p>
        </w:tc>
        <w:tc>
          <w:tcPr>
            <w:tcW w:w="3723" w:type="dxa"/>
          </w:tcPr>
          <w:p w:rsidR="001622AB" w:rsidRPr="001622AB" w:rsidRDefault="001622AB" w:rsidP="001622AB">
            <w:pPr>
              <w:autoSpaceDE w:val="0"/>
              <w:autoSpaceDN w:val="0"/>
              <w:adjustRightInd w:val="0"/>
              <w:spacing w:line="360" w:lineRule="auto"/>
              <w:jc w:val="both"/>
              <w:rPr>
                <w:rFonts w:ascii="Arial Narrow" w:hAnsi="Arial Narrow" w:cs="Times New Roman"/>
                <w:b/>
                <w:bCs/>
                <w:color w:val="000000"/>
                <w:sz w:val="24"/>
                <w:szCs w:val="24"/>
                <w:lang w:val="en-ZA"/>
              </w:rPr>
            </w:pPr>
            <w:r w:rsidRPr="001622AB">
              <w:rPr>
                <w:rFonts w:ascii="Arial Narrow" w:hAnsi="Arial Narrow" w:cs="Times New Roman"/>
                <w:b/>
                <w:bCs/>
                <w:color w:val="000000"/>
                <w:sz w:val="24"/>
                <w:szCs w:val="24"/>
                <w:lang w:val="en-ZA"/>
              </w:rPr>
              <w:t>what (a) is the (</w:t>
            </w:r>
            <w:proofErr w:type="spellStart"/>
            <w:r w:rsidRPr="001622AB">
              <w:rPr>
                <w:rFonts w:ascii="Arial Narrow" w:hAnsi="Arial Narrow" w:cs="Times New Roman"/>
                <w:b/>
                <w:bCs/>
                <w:color w:val="000000"/>
                <w:sz w:val="24"/>
                <w:szCs w:val="24"/>
                <w:lang w:val="en-ZA"/>
              </w:rPr>
              <w:t>i</w:t>
            </w:r>
            <w:proofErr w:type="spellEnd"/>
            <w:r w:rsidRPr="001622AB">
              <w:rPr>
                <w:rFonts w:ascii="Arial Narrow" w:hAnsi="Arial Narrow" w:cs="Times New Roman"/>
                <w:b/>
                <w:bCs/>
                <w:color w:val="000000"/>
                <w:sz w:val="24"/>
                <w:szCs w:val="24"/>
                <w:lang w:val="en-ZA"/>
              </w:rPr>
              <w:t>) breakdown of all legal matters against the various entities of his department</w:t>
            </w:r>
          </w:p>
        </w:tc>
        <w:tc>
          <w:tcPr>
            <w:tcW w:w="2078" w:type="dxa"/>
          </w:tcPr>
          <w:p w:rsidR="001622AB" w:rsidRPr="001622AB" w:rsidRDefault="001622AB" w:rsidP="001622AB">
            <w:pPr>
              <w:autoSpaceDE w:val="0"/>
              <w:autoSpaceDN w:val="0"/>
              <w:adjustRightInd w:val="0"/>
              <w:spacing w:line="360" w:lineRule="auto"/>
              <w:jc w:val="both"/>
              <w:rPr>
                <w:rFonts w:ascii="Arial Narrow" w:hAnsi="Arial Narrow" w:cs="Times New Roman"/>
                <w:b/>
                <w:bCs/>
                <w:color w:val="000000"/>
                <w:sz w:val="24"/>
                <w:szCs w:val="24"/>
                <w:lang w:val="en-ZA"/>
              </w:rPr>
            </w:pPr>
            <w:r w:rsidRPr="001622AB">
              <w:rPr>
                <w:rFonts w:ascii="Arial Narrow" w:hAnsi="Arial Narrow" w:cs="Times New Roman"/>
                <w:b/>
                <w:bCs/>
                <w:color w:val="000000"/>
                <w:sz w:val="24"/>
                <w:szCs w:val="24"/>
                <w:lang w:val="en-ZA"/>
              </w:rPr>
              <w:t>(a)(ii) cost to the taxpayer in each case</w:t>
            </w:r>
          </w:p>
        </w:tc>
        <w:tc>
          <w:tcPr>
            <w:tcW w:w="3129" w:type="dxa"/>
          </w:tcPr>
          <w:p w:rsidR="001622AB" w:rsidRPr="001622AB" w:rsidRDefault="001622AB" w:rsidP="001622AB">
            <w:pPr>
              <w:autoSpaceDE w:val="0"/>
              <w:autoSpaceDN w:val="0"/>
              <w:adjustRightInd w:val="0"/>
              <w:spacing w:line="360" w:lineRule="auto"/>
              <w:jc w:val="both"/>
              <w:rPr>
                <w:rFonts w:ascii="Arial Narrow" w:hAnsi="Arial Narrow" w:cs="Times New Roman"/>
                <w:b/>
                <w:bCs/>
                <w:color w:val="000000"/>
                <w:sz w:val="24"/>
                <w:szCs w:val="24"/>
                <w:lang w:val="en-ZA"/>
              </w:rPr>
            </w:pPr>
            <w:r w:rsidRPr="001622AB">
              <w:rPr>
                <w:rFonts w:ascii="Arial Narrow" w:hAnsi="Arial Narrow" w:cs="Times New Roman"/>
                <w:b/>
                <w:bCs/>
                <w:color w:val="000000"/>
                <w:sz w:val="24"/>
                <w:szCs w:val="24"/>
                <w:lang w:val="en-ZA"/>
              </w:rPr>
              <w:t>(b) are the reasons that his department has not, to date, used its own internal processes against those individuals who offset the specified cases, such that they are personally liable for the specified legal costs</w:t>
            </w:r>
          </w:p>
        </w:tc>
      </w:tr>
      <w:tr w:rsidR="001622AB" w:rsidRPr="001622AB" w:rsidTr="001622AB">
        <w:tc>
          <w:tcPr>
            <w:tcW w:w="988" w:type="dxa"/>
          </w:tcPr>
          <w:p w:rsidR="001622AB" w:rsidRPr="00671CB7" w:rsidRDefault="001622AB" w:rsidP="001622AB">
            <w:pPr>
              <w:autoSpaceDE w:val="0"/>
              <w:autoSpaceDN w:val="0"/>
              <w:adjustRightInd w:val="0"/>
              <w:spacing w:line="360" w:lineRule="auto"/>
              <w:jc w:val="both"/>
              <w:rPr>
                <w:rFonts w:ascii="Arial Narrow" w:hAnsi="Arial Narrow" w:cs="Times New Roman"/>
                <w:bCs/>
                <w:color w:val="000000"/>
                <w:sz w:val="24"/>
                <w:szCs w:val="24"/>
                <w:lang w:val="en-ZA"/>
              </w:rPr>
            </w:pPr>
            <w:r w:rsidRPr="00671CB7">
              <w:rPr>
                <w:rFonts w:ascii="Arial Narrow" w:hAnsi="Arial Narrow" w:cs="Times New Roman"/>
                <w:bCs/>
                <w:color w:val="000000"/>
                <w:sz w:val="24"/>
                <w:szCs w:val="24"/>
                <w:lang w:val="en-ZA"/>
              </w:rPr>
              <w:t>CEF (SOC) Ltd</w:t>
            </w:r>
          </w:p>
        </w:tc>
        <w:tc>
          <w:tcPr>
            <w:tcW w:w="3723" w:type="dxa"/>
          </w:tcPr>
          <w:p w:rsidR="001622AB" w:rsidRPr="00671CB7" w:rsidRDefault="001622AB" w:rsidP="001622AB">
            <w:pPr>
              <w:autoSpaceDE w:val="0"/>
              <w:autoSpaceDN w:val="0"/>
              <w:adjustRightInd w:val="0"/>
              <w:spacing w:line="360" w:lineRule="auto"/>
              <w:jc w:val="both"/>
              <w:rPr>
                <w:rFonts w:ascii="Arial Narrow" w:hAnsi="Arial Narrow" w:cs="Times New Roman"/>
                <w:bCs/>
                <w:color w:val="000000"/>
                <w:sz w:val="24"/>
                <w:szCs w:val="24"/>
                <w:lang w:val="en-ZA"/>
              </w:rPr>
            </w:pPr>
            <w:r w:rsidRPr="00671CB7">
              <w:rPr>
                <w:rFonts w:ascii="Arial Narrow" w:hAnsi="Arial Narrow"/>
                <w:sz w:val="24"/>
                <w:szCs w:val="24"/>
              </w:rPr>
              <w:t>CEF SOC Ltd and SFF jointly handled the stock rotation litigation matter</w:t>
            </w:r>
          </w:p>
        </w:tc>
        <w:tc>
          <w:tcPr>
            <w:tcW w:w="2078" w:type="dxa"/>
          </w:tcPr>
          <w:p w:rsidR="001622AB" w:rsidRPr="00671CB7" w:rsidRDefault="001622AB" w:rsidP="001622AB">
            <w:pPr>
              <w:autoSpaceDE w:val="0"/>
              <w:autoSpaceDN w:val="0"/>
              <w:adjustRightInd w:val="0"/>
              <w:spacing w:line="360" w:lineRule="auto"/>
              <w:jc w:val="both"/>
              <w:rPr>
                <w:rFonts w:ascii="Arial Narrow" w:hAnsi="Arial Narrow" w:cs="Times New Roman"/>
                <w:bCs/>
                <w:color w:val="000000"/>
                <w:sz w:val="24"/>
                <w:szCs w:val="24"/>
                <w:lang w:val="en-ZA"/>
              </w:rPr>
            </w:pPr>
            <w:r w:rsidRPr="00671CB7">
              <w:rPr>
                <w:rFonts w:ascii="Arial Narrow" w:hAnsi="Arial Narrow"/>
                <w:sz w:val="24"/>
                <w:szCs w:val="24"/>
              </w:rPr>
              <w:t>R11</w:t>
            </w:r>
            <w:r w:rsidRPr="00671CB7">
              <w:rPr>
                <w:rFonts w:ascii="Arial Narrow" w:hAnsi="Arial Narrow" w:cs="Arial"/>
                <w:sz w:val="24"/>
                <w:szCs w:val="24"/>
              </w:rPr>
              <w:t>, 922, 752.15.</w:t>
            </w:r>
          </w:p>
        </w:tc>
        <w:tc>
          <w:tcPr>
            <w:tcW w:w="3129" w:type="dxa"/>
          </w:tcPr>
          <w:p w:rsidR="001622AB" w:rsidRPr="00671CB7" w:rsidRDefault="001622AB" w:rsidP="001622AB">
            <w:pPr>
              <w:autoSpaceDE w:val="0"/>
              <w:autoSpaceDN w:val="0"/>
              <w:adjustRightInd w:val="0"/>
              <w:spacing w:line="360" w:lineRule="auto"/>
              <w:jc w:val="both"/>
              <w:rPr>
                <w:rFonts w:ascii="Arial Narrow" w:hAnsi="Arial Narrow" w:cs="Times New Roman"/>
                <w:bCs/>
                <w:color w:val="000000"/>
                <w:sz w:val="24"/>
                <w:szCs w:val="24"/>
                <w:lang w:val="en-ZA"/>
              </w:rPr>
            </w:pPr>
            <w:r w:rsidRPr="00671CB7">
              <w:rPr>
                <w:rFonts w:ascii="Arial Narrow" w:hAnsi="Arial Narrow" w:cs="Arial"/>
                <w:sz w:val="24"/>
                <w:szCs w:val="24"/>
              </w:rPr>
              <w:t>After the A&amp;O Report, Application was made for a declaratory order declaring that the sale of strategic stock was invalid.</w:t>
            </w:r>
          </w:p>
        </w:tc>
      </w:tr>
      <w:tr w:rsidR="001622AB" w:rsidRPr="001622AB" w:rsidTr="001622AB">
        <w:tc>
          <w:tcPr>
            <w:tcW w:w="988" w:type="dxa"/>
          </w:tcPr>
          <w:p w:rsidR="001622AB" w:rsidRPr="00671CB7" w:rsidRDefault="001622AB" w:rsidP="001622AB">
            <w:pPr>
              <w:autoSpaceDE w:val="0"/>
              <w:autoSpaceDN w:val="0"/>
              <w:adjustRightInd w:val="0"/>
              <w:spacing w:line="360" w:lineRule="auto"/>
              <w:jc w:val="both"/>
              <w:rPr>
                <w:rFonts w:ascii="Arial Narrow" w:hAnsi="Arial Narrow" w:cs="Times New Roman"/>
                <w:bCs/>
                <w:color w:val="000000"/>
                <w:sz w:val="24"/>
                <w:szCs w:val="24"/>
                <w:lang w:val="en-ZA"/>
              </w:rPr>
            </w:pPr>
            <w:r w:rsidRPr="00671CB7">
              <w:rPr>
                <w:rFonts w:ascii="Arial Narrow" w:hAnsi="Arial Narrow" w:cs="Times New Roman"/>
                <w:bCs/>
                <w:color w:val="000000"/>
                <w:sz w:val="24"/>
                <w:szCs w:val="24"/>
                <w:lang w:val="en-ZA"/>
              </w:rPr>
              <w:t>SFF</w:t>
            </w:r>
          </w:p>
        </w:tc>
        <w:tc>
          <w:tcPr>
            <w:tcW w:w="3723" w:type="dxa"/>
          </w:tcPr>
          <w:p w:rsidR="001622AB" w:rsidRPr="00671CB7" w:rsidRDefault="001622AB" w:rsidP="001622AB">
            <w:pPr>
              <w:autoSpaceDE w:val="0"/>
              <w:autoSpaceDN w:val="0"/>
              <w:adjustRightInd w:val="0"/>
              <w:spacing w:line="360" w:lineRule="auto"/>
              <w:jc w:val="both"/>
              <w:rPr>
                <w:rFonts w:ascii="Arial Narrow" w:hAnsi="Arial Narrow" w:cs="Arial"/>
                <w:color w:val="000000"/>
                <w:sz w:val="24"/>
                <w:szCs w:val="24"/>
                <w:lang w:val="en-ZA"/>
              </w:rPr>
            </w:pPr>
            <w:r w:rsidRPr="00671CB7">
              <w:rPr>
                <w:rFonts w:ascii="Arial Narrow" w:hAnsi="Arial Narrow" w:cs="Arial"/>
                <w:color w:val="000000"/>
                <w:sz w:val="24"/>
                <w:szCs w:val="24"/>
                <w:lang w:val="en-ZA"/>
              </w:rPr>
              <w:t>Stock Rotation already reported as stated above.</w:t>
            </w:r>
          </w:p>
          <w:p w:rsidR="001622AB" w:rsidRPr="00671CB7" w:rsidRDefault="001622AB" w:rsidP="001622AB">
            <w:pPr>
              <w:autoSpaceDE w:val="0"/>
              <w:autoSpaceDN w:val="0"/>
              <w:adjustRightInd w:val="0"/>
              <w:spacing w:line="360" w:lineRule="auto"/>
              <w:jc w:val="both"/>
              <w:rPr>
                <w:rFonts w:ascii="Arial Narrow" w:hAnsi="Arial Narrow" w:cs="Arial"/>
                <w:color w:val="000000"/>
                <w:sz w:val="24"/>
                <w:szCs w:val="24"/>
                <w:lang w:val="en-ZA"/>
              </w:rPr>
            </w:pPr>
          </w:p>
          <w:p w:rsidR="001622AB" w:rsidRPr="00671CB7" w:rsidRDefault="001622AB" w:rsidP="001622AB">
            <w:pPr>
              <w:autoSpaceDE w:val="0"/>
              <w:autoSpaceDN w:val="0"/>
              <w:adjustRightInd w:val="0"/>
              <w:spacing w:line="360" w:lineRule="auto"/>
              <w:jc w:val="both"/>
              <w:rPr>
                <w:rFonts w:ascii="Arial Narrow" w:eastAsia="Calibri" w:hAnsi="Arial Narrow" w:cs="Arial"/>
                <w:sz w:val="24"/>
                <w:szCs w:val="24"/>
              </w:rPr>
            </w:pPr>
            <w:proofErr w:type="spellStart"/>
            <w:r w:rsidRPr="00671CB7">
              <w:rPr>
                <w:rFonts w:ascii="Arial Narrow" w:eastAsia="Calibri" w:hAnsi="Arial Narrow" w:cs="Arial"/>
                <w:sz w:val="24"/>
                <w:szCs w:val="24"/>
              </w:rPr>
              <w:t>Krone</w:t>
            </w:r>
            <w:proofErr w:type="spellEnd"/>
            <w:r w:rsidRPr="00671CB7">
              <w:rPr>
                <w:rFonts w:ascii="Arial Narrow" w:eastAsia="Calibri" w:hAnsi="Arial Narrow" w:cs="Arial"/>
                <w:sz w:val="24"/>
                <w:szCs w:val="24"/>
              </w:rPr>
              <w:t xml:space="preserve"> is suing SFF for payment, which they allege, is due in terms of the contract. Krone was required to install a metering system, which was aimed at improving accuracy levels of measuring of oil volumes.</w:t>
            </w:r>
          </w:p>
          <w:p w:rsidR="001622AB" w:rsidRPr="00671CB7" w:rsidRDefault="001622AB" w:rsidP="001622AB">
            <w:pPr>
              <w:autoSpaceDE w:val="0"/>
              <w:autoSpaceDN w:val="0"/>
              <w:adjustRightInd w:val="0"/>
              <w:spacing w:line="360" w:lineRule="auto"/>
              <w:jc w:val="both"/>
              <w:rPr>
                <w:rFonts w:ascii="Arial Narrow" w:eastAsia="Calibri" w:hAnsi="Arial Narrow" w:cs="Arial"/>
                <w:sz w:val="24"/>
                <w:szCs w:val="24"/>
              </w:rPr>
            </w:pPr>
          </w:p>
          <w:p w:rsidR="001622AB" w:rsidRPr="00671CB7" w:rsidRDefault="001622AB" w:rsidP="001622AB">
            <w:pPr>
              <w:autoSpaceDE w:val="0"/>
              <w:autoSpaceDN w:val="0"/>
              <w:adjustRightInd w:val="0"/>
              <w:spacing w:line="360" w:lineRule="auto"/>
              <w:jc w:val="both"/>
              <w:rPr>
                <w:rFonts w:ascii="Arial Narrow" w:hAnsi="Arial Narrow" w:cs="Arial"/>
                <w:color w:val="000000"/>
                <w:sz w:val="24"/>
                <w:szCs w:val="24"/>
                <w:lang w:val="en-ZA"/>
              </w:rPr>
            </w:pPr>
            <w:r w:rsidRPr="00671CB7">
              <w:rPr>
                <w:rFonts w:ascii="Arial Narrow" w:hAnsi="Arial Narrow" w:cs="Arial"/>
                <w:sz w:val="24"/>
                <w:szCs w:val="24"/>
              </w:rPr>
              <w:t>In the recovery of proceeds for the sale of diesel to Line Petroleum, a default judgment was granted in favour of SFF,</w:t>
            </w:r>
          </w:p>
          <w:p w:rsidR="001622AB" w:rsidRPr="00671CB7" w:rsidRDefault="001622AB" w:rsidP="001622AB">
            <w:pPr>
              <w:autoSpaceDE w:val="0"/>
              <w:autoSpaceDN w:val="0"/>
              <w:adjustRightInd w:val="0"/>
              <w:spacing w:line="360" w:lineRule="auto"/>
              <w:jc w:val="both"/>
              <w:rPr>
                <w:rFonts w:ascii="Arial Narrow" w:hAnsi="Arial Narrow"/>
                <w:sz w:val="24"/>
                <w:szCs w:val="24"/>
              </w:rPr>
            </w:pPr>
          </w:p>
        </w:tc>
        <w:tc>
          <w:tcPr>
            <w:tcW w:w="2078" w:type="dxa"/>
          </w:tcPr>
          <w:p w:rsidR="001622AB" w:rsidRPr="00671CB7" w:rsidRDefault="001622AB" w:rsidP="001622AB">
            <w:pPr>
              <w:autoSpaceDE w:val="0"/>
              <w:autoSpaceDN w:val="0"/>
              <w:adjustRightInd w:val="0"/>
              <w:spacing w:line="360" w:lineRule="auto"/>
              <w:jc w:val="both"/>
              <w:rPr>
                <w:rFonts w:ascii="Arial Narrow" w:hAnsi="Arial Narrow"/>
                <w:sz w:val="24"/>
                <w:szCs w:val="24"/>
              </w:rPr>
            </w:pPr>
          </w:p>
          <w:p w:rsidR="001622AB" w:rsidRPr="00671CB7" w:rsidRDefault="001622AB" w:rsidP="001622AB">
            <w:pPr>
              <w:autoSpaceDE w:val="0"/>
              <w:autoSpaceDN w:val="0"/>
              <w:adjustRightInd w:val="0"/>
              <w:spacing w:line="360" w:lineRule="auto"/>
              <w:jc w:val="both"/>
              <w:rPr>
                <w:rFonts w:ascii="Arial Narrow" w:hAnsi="Arial Narrow"/>
                <w:sz w:val="24"/>
                <w:szCs w:val="24"/>
              </w:rPr>
            </w:pPr>
          </w:p>
          <w:p w:rsidR="001622AB" w:rsidRPr="00671CB7" w:rsidRDefault="001622AB" w:rsidP="001622AB">
            <w:pPr>
              <w:autoSpaceDE w:val="0"/>
              <w:autoSpaceDN w:val="0"/>
              <w:adjustRightInd w:val="0"/>
              <w:spacing w:line="360" w:lineRule="auto"/>
              <w:jc w:val="both"/>
              <w:rPr>
                <w:rFonts w:ascii="Arial Narrow" w:hAnsi="Arial Narrow"/>
                <w:sz w:val="24"/>
                <w:szCs w:val="24"/>
              </w:rPr>
            </w:pPr>
          </w:p>
          <w:p w:rsidR="001622AB" w:rsidRPr="00671CB7" w:rsidRDefault="001622AB" w:rsidP="001622AB">
            <w:pPr>
              <w:autoSpaceDE w:val="0"/>
              <w:autoSpaceDN w:val="0"/>
              <w:adjustRightInd w:val="0"/>
              <w:spacing w:line="360" w:lineRule="auto"/>
              <w:jc w:val="both"/>
              <w:rPr>
                <w:rFonts w:ascii="Arial Narrow" w:hAnsi="Arial Narrow"/>
                <w:sz w:val="24"/>
                <w:szCs w:val="24"/>
              </w:rPr>
            </w:pPr>
          </w:p>
          <w:p w:rsidR="001622AB" w:rsidRPr="00671CB7" w:rsidRDefault="001622AB" w:rsidP="001622AB">
            <w:pPr>
              <w:autoSpaceDE w:val="0"/>
              <w:autoSpaceDN w:val="0"/>
              <w:adjustRightInd w:val="0"/>
              <w:spacing w:line="360" w:lineRule="auto"/>
              <w:jc w:val="both"/>
              <w:rPr>
                <w:rFonts w:ascii="Arial Narrow" w:eastAsia="Calibri" w:hAnsi="Arial Narrow" w:cs="Arial"/>
                <w:sz w:val="24"/>
                <w:szCs w:val="24"/>
              </w:rPr>
            </w:pPr>
            <w:r w:rsidRPr="00671CB7">
              <w:rPr>
                <w:rFonts w:ascii="Arial Narrow" w:hAnsi="Arial Narrow" w:cs="Arial"/>
                <w:sz w:val="24"/>
                <w:szCs w:val="24"/>
              </w:rPr>
              <w:t>R4 500 685</w:t>
            </w:r>
            <w:r w:rsidRPr="00671CB7">
              <w:rPr>
                <w:rFonts w:ascii="Arial Narrow" w:eastAsia="Calibri" w:hAnsi="Arial Narrow" w:cs="Arial"/>
                <w:sz w:val="24"/>
                <w:szCs w:val="24"/>
              </w:rPr>
              <w:t>.00</w:t>
            </w:r>
          </w:p>
          <w:p w:rsidR="001622AB" w:rsidRPr="00671CB7" w:rsidRDefault="001622AB" w:rsidP="001622AB">
            <w:pPr>
              <w:autoSpaceDE w:val="0"/>
              <w:autoSpaceDN w:val="0"/>
              <w:adjustRightInd w:val="0"/>
              <w:spacing w:line="360" w:lineRule="auto"/>
              <w:jc w:val="both"/>
              <w:rPr>
                <w:rFonts w:ascii="Arial Narrow" w:eastAsia="Calibri" w:hAnsi="Arial Narrow" w:cs="Arial"/>
                <w:sz w:val="24"/>
                <w:szCs w:val="24"/>
              </w:rPr>
            </w:pPr>
          </w:p>
          <w:p w:rsidR="001622AB" w:rsidRPr="00671CB7" w:rsidRDefault="001622AB" w:rsidP="001622AB">
            <w:pPr>
              <w:autoSpaceDE w:val="0"/>
              <w:autoSpaceDN w:val="0"/>
              <w:adjustRightInd w:val="0"/>
              <w:spacing w:line="360" w:lineRule="auto"/>
              <w:jc w:val="both"/>
              <w:rPr>
                <w:rFonts w:ascii="Arial Narrow" w:eastAsia="Calibri" w:hAnsi="Arial Narrow" w:cs="Arial"/>
                <w:sz w:val="24"/>
                <w:szCs w:val="24"/>
              </w:rPr>
            </w:pPr>
          </w:p>
          <w:p w:rsidR="001622AB" w:rsidRPr="00671CB7" w:rsidRDefault="001622AB" w:rsidP="001622AB">
            <w:pPr>
              <w:autoSpaceDE w:val="0"/>
              <w:autoSpaceDN w:val="0"/>
              <w:adjustRightInd w:val="0"/>
              <w:spacing w:line="360" w:lineRule="auto"/>
              <w:jc w:val="both"/>
              <w:rPr>
                <w:rFonts w:ascii="Arial Narrow" w:eastAsia="Calibri" w:hAnsi="Arial Narrow" w:cs="Arial"/>
                <w:sz w:val="24"/>
                <w:szCs w:val="24"/>
              </w:rPr>
            </w:pPr>
          </w:p>
          <w:p w:rsidR="001622AB" w:rsidRPr="00671CB7" w:rsidRDefault="001622AB" w:rsidP="001622AB">
            <w:pPr>
              <w:autoSpaceDE w:val="0"/>
              <w:autoSpaceDN w:val="0"/>
              <w:adjustRightInd w:val="0"/>
              <w:spacing w:line="360" w:lineRule="auto"/>
              <w:jc w:val="both"/>
              <w:rPr>
                <w:rFonts w:ascii="Arial Narrow" w:eastAsia="Calibri" w:hAnsi="Arial Narrow" w:cs="Arial"/>
                <w:sz w:val="24"/>
                <w:szCs w:val="24"/>
              </w:rPr>
            </w:pPr>
          </w:p>
          <w:p w:rsidR="001622AB" w:rsidRPr="00671CB7" w:rsidRDefault="001622AB" w:rsidP="001622AB">
            <w:pPr>
              <w:autoSpaceDE w:val="0"/>
              <w:autoSpaceDN w:val="0"/>
              <w:adjustRightInd w:val="0"/>
              <w:spacing w:line="360" w:lineRule="auto"/>
              <w:jc w:val="both"/>
              <w:rPr>
                <w:rFonts w:ascii="Arial Narrow" w:eastAsia="Calibri" w:hAnsi="Arial Narrow" w:cs="Arial"/>
                <w:sz w:val="24"/>
                <w:szCs w:val="24"/>
              </w:rPr>
            </w:pPr>
          </w:p>
          <w:p w:rsidR="001622AB" w:rsidRPr="00671CB7" w:rsidRDefault="001622AB" w:rsidP="001622AB">
            <w:pPr>
              <w:autoSpaceDE w:val="0"/>
              <w:autoSpaceDN w:val="0"/>
              <w:adjustRightInd w:val="0"/>
              <w:spacing w:line="360" w:lineRule="auto"/>
              <w:jc w:val="both"/>
              <w:rPr>
                <w:rFonts w:ascii="Arial Narrow" w:eastAsia="Calibri" w:hAnsi="Arial Narrow" w:cs="Arial"/>
                <w:sz w:val="24"/>
                <w:szCs w:val="24"/>
              </w:rPr>
            </w:pPr>
            <w:r w:rsidRPr="00671CB7">
              <w:rPr>
                <w:rFonts w:ascii="Arial Narrow" w:hAnsi="Arial Narrow" w:cs="Arial"/>
                <w:sz w:val="24"/>
                <w:szCs w:val="24"/>
              </w:rPr>
              <w:t>R 43, 400.43</w:t>
            </w:r>
          </w:p>
          <w:p w:rsidR="001622AB" w:rsidRPr="00671CB7" w:rsidRDefault="001622AB" w:rsidP="001622AB">
            <w:pPr>
              <w:autoSpaceDE w:val="0"/>
              <w:autoSpaceDN w:val="0"/>
              <w:adjustRightInd w:val="0"/>
              <w:spacing w:line="360" w:lineRule="auto"/>
              <w:jc w:val="both"/>
              <w:rPr>
                <w:rFonts w:ascii="Arial Narrow" w:hAnsi="Arial Narrow"/>
                <w:sz w:val="24"/>
                <w:szCs w:val="24"/>
              </w:rPr>
            </w:pPr>
          </w:p>
        </w:tc>
        <w:tc>
          <w:tcPr>
            <w:tcW w:w="3129" w:type="dxa"/>
          </w:tcPr>
          <w:p w:rsidR="001622AB" w:rsidRPr="00671CB7" w:rsidRDefault="001622AB" w:rsidP="001622AB">
            <w:pPr>
              <w:autoSpaceDE w:val="0"/>
              <w:autoSpaceDN w:val="0"/>
              <w:adjustRightInd w:val="0"/>
              <w:spacing w:line="360" w:lineRule="auto"/>
              <w:jc w:val="both"/>
              <w:rPr>
                <w:rFonts w:ascii="Arial Narrow" w:hAnsi="Arial Narrow" w:cs="Arial"/>
                <w:sz w:val="24"/>
                <w:szCs w:val="24"/>
              </w:rPr>
            </w:pPr>
          </w:p>
          <w:p w:rsidR="001622AB" w:rsidRPr="00671CB7" w:rsidRDefault="001622AB" w:rsidP="001622AB">
            <w:pPr>
              <w:autoSpaceDE w:val="0"/>
              <w:autoSpaceDN w:val="0"/>
              <w:adjustRightInd w:val="0"/>
              <w:spacing w:line="360" w:lineRule="auto"/>
              <w:jc w:val="both"/>
              <w:rPr>
                <w:rFonts w:ascii="Arial Narrow" w:hAnsi="Arial Narrow" w:cs="Arial"/>
                <w:sz w:val="24"/>
                <w:szCs w:val="24"/>
              </w:rPr>
            </w:pPr>
          </w:p>
          <w:p w:rsidR="001622AB" w:rsidRPr="00671CB7" w:rsidRDefault="001622AB" w:rsidP="001622AB">
            <w:pPr>
              <w:autoSpaceDE w:val="0"/>
              <w:autoSpaceDN w:val="0"/>
              <w:adjustRightInd w:val="0"/>
              <w:spacing w:line="360" w:lineRule="auto"/>
              <w:jc w:val="both"/>
              <w:rPr>
                <w:rFonts w:ascii="Arial Narrow" w:hAnsi="Arial Narrow" w:cs="Arial"/>
                <w:sz w:val="24"/>
                <w:szCs w:val="24"/>
              </w:rPr>
            </w:pPr>
          </w:p>
          <w:p w:rsidR="001622AB" w:rsidRPr="00671CB7" w:rsidRDefault="001622AB" w:rsidP="001622AB">
            <w:pPr>
              <w:autoSpaceDE w:val="0"/>
              <w:autoSpaceDN w:val="0"/>
              <w:adjustRightInd w:val="0"/>
              <w:spacing w:line="360" w:lineRule="auto"/>
              <w:jc w:val="both"/>
              <w:rPr>
                <w:rFonts w:ascii="Arial Narrow" w:eastAsia="Calibri" w:hAnsi="Arial Narrow" w:cs="Arial"/>
                <w:sz w:val="24"/>
                <w:szCs w:val="24"/>
              </w:rPr>
            </w:pPr>
          </w:p>
          <w:p w:rsidR="001622AB" w:rsidRPr="00671CB7" w:rsidRDefault="001622AB" w:rsidP="001622AB">
            <w:pPr>
              <w:autoSpaceDE w:val="0"/>
              <w:autoSpaceDN w:val="0"/>
              <w:adjustRightInd w:val="0"/>
              <w:spacing w:line="360" w:lineRule="auto"/>
              <w:jc w:val="both"/>
              <w:rPr>
                <w:rFonts w:ascii="Arial Narrow" w:eastAsia="Calibri" w:hAnsi="Arial Narrow" w:cs="Arial"/>
                <w:sz w:val="24"/>
                <w:szCs w:val="24"/>
              </w:rPr>
            </w:pPr>
            <w:r w:rsidRPr="00671CB7">
              <w:rPr>
                <w:rFonts w:ascii="Arial Narrow" w:eastAsia="Calibri" w:hAnsi="Arial Narrow" w:cs="Arial"/>
                <w:sz w:val="24"/>
                <w:szCs w:val="24"/>
              </w:rPr>
              <w:t>SFF is withholding payment on the grounds of non-performance under the contract.</w:t>
            </w:r>
          </w:p>
          <w:p w:rsidR="001622AB" w:rsidRPr="00671CB7" w:rsidRDefault="001622AB" w:rsidP="001622AB">
            <w:pPr>
              <w:autoSpaceDE w:val="0"/>
              <w:autoSpaceDN w:val="0"/>
              <w:adjustRightInd w:val="0"/>
              <w:spacing w:line="360" w:lineRule="auto"/>
              <w:jc w:val="both"/>
              <w:rPr>
                <w:rFonts w:ascii="Arial Narrow" w:eastAsia="Calibri" w:hAnsi="Arial Narrow" w:cs="Arial"/>
                <w:sz w:val="24"/>
                <w:szCs w:val="24"/>
              </w:rPr>
            </w:pPr>
          </w:p>
          <w:p w:rsidR="001622AB" w:rsidRPr="00671CB7" w:rsidRDefault="001622AB" w:rsidP="001622AB">
            <w:pPr>
              <w:autoSpaceDE w:val="0"/>
              <w:autoSpaceDN w:val="0"/>
              <w:adjustRightInd w:val="0"/>
              <w:spacing w:line="360" w:lineRule="auto"/>
              <w:jc w:val="both"/>
              <w:rPr>
                <w:rFonts w:ascii="Arial Narrow" w:eastAsia="Calibri" w:hAnsi="Arial Narrow" w:cs="Arial"/>
                <w:sz w:val="24"/>
                <w:szCs w:val="24"/>
              </w:rPr>
            </w:pPr>
          </w:p>
          <w:p w:rsidR="001622AB" w:rsidRPr="00671CB7" w:rsidRDefault="001622AB" w:rsidP="001622AB">
            <w:pPr>
              <w:autoSpaceDE w:val="0"/>
              <w:autoSpaceDN w:val="0"/>
              <w:adjustRightInd w:val="0"/>
              <w:spacing w:line="360" w:lineRule="auto"/>
              <w:jc w:val="both"/>
              <w:rPr>
                <w:rFonts w:ascii="Arial Narrow" w:hAnsi="Arial Narrow" w:cs="Arial"/>
                <w:sz w:val="24"/>
                <w:szCs w:val="24"/>
              </w:rPr>
            </w:pPr>
            <w:r w:rsidRPr="00671CB7">
              <w:rPr>
                <w:rFonts w:ascii="Arial Narrow" w:hAnsi="Arial Narrow" w:cs="Arial"/>
                <w:sz w:val="24"/>
                <w:szCs w:val="24"/>
              </w:rPr>
              <w:t>A legal opinion is being sought because Line Petroleum does not have attachable assets in South Africa.</w:t>
            </w:r>
          </w:p>
          <w:p w:rsidR="001622AB" w:rsidRPr="00671CB7" w:rsidRDefault="001622AB" w:rsidP="001622AB">
            <w:pPr>
              <w:autoSpaceDE w:val="0"/>
              <w:autoSpaceDN w:val="0"/>
              <w:adjustRightInd w:val="0"/>
              <w:spacing w:line="360" w:lineRule="auto"/>
              <w:jc w:val="both"/>
              <w:rPr>
                <w:rFonts w:ascii="Arial Narrow" w:hAnsi="Arial Narrow" w:cs="Arial"/>
                <w:sz w:val="24"/>
                <w:szCs w:val="24"/>
              </w:rPr>
            </w:pPr>
          </w:p>
        </w:tc>
      </w:tr>
      <w:tr w:rsidR="001622AB" w:rsidRPr="001622AB" w:rsidTr="001622AB">
        <w:tc>
          <w:tcPr>
            <w:tcW w:w="988" w:type="dxa"/>
          </w:tcPr>
          <w:p w:rsidR="001622AB" w:rsidRPr="00671CB7" w:rsidRDefault="001622AB" w:rsidP="001622AB">
            <w:pPr>
              <w:autoSpaceDE w:val="0"/>
              <w:autoSpaceDN w:val="0"/>
              <w:adjustRightInd w:val="0"/>
              <w:spacing w:line="360" w:lineRule="auto"/>
              <w:jc w:val="both"/>
              <w:rPr>
                <w:rFonts w:ascii="Arial Narrow" w:hAnsi="Arial Narrow" w:cs="Times New Roman"/>
                <w:bCs/>
                <w:color w:val="000000"/>
                <w:sz w:val="24"/>
                <w:szCs w:val="24"/>
                <w:lang w:val="en-ZA"/>
              </w:rPr>
            </w:pPr>
            <w:proofErr w:type="spellStart"/>
            <w:r w:rsidRPr="00671CB7">
              <w:rPr>
                <w:rFonts w:ascii="Arial Narrow" w:hAnsi="Arial Narrow" w:cs="Times New Roman"/>
                <w:bCs/>
                <w:color w:val="000000"/>
                <w:sz w:val="24"/>
                <w:szCs w:val="24"/>
                <w:lang w:val="en-ZA"/>
              </w:rPr>
              <w:t>iGas</w:t>
            </w:r>
            <w:proofErr w:type="spellEnd"/>
          </w:p>
        </w:tc>
        <w:tc>
          <w:tcPr>
            <w:tcW w:w="3723" w:type="dxa"/>
          </w:tcPr>
          <w:p w:rsidR="001622AB" w:rsidRPr="00671CB7" w:rsidRDefault="001622AB" w:rsidP="001622AB">
            <w:pPr>
              <w:autoSpaceDE w:val="0"/>
              <w:autoSpaceDN w:val="0"/>
              <w:adjustRightInd w:val="0"/>
              <w:spacing w:line="360" w:lineRule="auto"/>
              <w:jc w:val="both"/>
              <w:rPr>
                <w:rFonts w:ascii="Arial Narrow" w:hAnsi="Arial Narrow" w:cs="Arial"/>
                <w:color w:val="000000"/>
                <w:sz w:val="24"/>
                <w:szCs w:val="24"/>
                <w:lang w:val="en-ZA"/>
              </w:rPr>
            </w:pPr>
            <w:r w:rsidRPr="00671CB7">
              <w:rPr>
                <w:rFonts w:ascii="Arial Narrow" w:hAnsi="Arial Narrow" w:cs="Arial"/>
                <w:color w:val="000000"/>
                <w:sz w:val="24"/>
                <w:szCs w:val="24"/>
                <w:lang w:val="en-ZA"/>
              </w:rPr>
              <w:t>No litigation to report on.</w:t>
            </w:r>
          </w:p>
          <w:p w:rsidR="001622AB" w:rsidRPr="00671CB7" w:rsidRDefault="001622AB" w:rsidP="001622AB">
            <w:pPr>
              <w:autoSpaceDE w:val="0"/>
              <w:autoSpaceDN w:val="0"/>
              <w:adjustRightInd w:val="0"/>
              <w:spacing w:line="360" w:lineRule="auto"/>
              <w:jc w:val="both"/>
              <w:rPr>
                <w:rFonts w:ascii="Arial Narrow" w:hAnsi="Arial Narrow" w:cs="Arial"/>
                <w:color w:val="000000"/>
                <w:sz w:val="24"/>
                <w:szCs w:val="24"/>
                <w:lang w:val="en-ZA"/>
              </w:rPr>
            </w:pPr>
          </w:p>
        </w:tc>
        <w:tc>
          <w:tcPr>
            <w:tcW w:w="2078" w:type="dxa"/>
          </w:tcPr>
          <w:p w:rsidR="001622AB" w:rsidRPr="00671CB7" w:rsidRDefault="008037C8" w:rsidP="001622AB">
            <w:pPr>
              <w:autoSpaceDE w:val="0"/>
              <w:autoSpaceDN w:val="0"/>
              <w:adjustRightInd w:val="0"/>
              <w:spacing w:line="360" w:lineRule="auto"/>
              <w:jc w:val="both"/>
              <w:rPr>
                <w:rFonts w:ascii="Arial Narrow" w:hAnsi="Arial Narrow"/>
                <w:sz w:val="24"/>
                <w:szCs w:val="24"/>
              </w:rPr>
            </w:pPr>
            <w:r w:rsidRPr="00671CB7">
              <w:rPr>
                <w:rFonts w:ascii="Arial Narrow" w:hAnsi="Arial Narrow"/>
                <w:sz w:val="24"/>
                <w:szCs w:val="24"/>
              </w:rPr>
              <w:t>N/A</w:t>
            </w:r>
          </w:p>
        </w:tc>
        <w:tc>
          <w:tcPr>
            <w:tcW w:w="3129" w:type="dxa"/>
          </w:tcPr>
          <w:p w:rsidR="001622AB" w:rsidRPr="00671CB7" w:rsidRDefault="008037C8" w:rsidP="001622AB">
            <w:pPr>
              <w:autoSpaceDE w:val="0"/>
              <w:autoSpaceDN w:val="0"/>
              <w:adjustRightInd w:val="0"/>
              <w:spacing w:line="360" w:lineRule="auto"/>
              <w:jc w:val="both"/>
              <w:rPr>
                <w:rFonts w:ascii="Arial Narrow" w:hAnsi="Arial Narrow" w:cs="Arial"/>
                <w:sz w:val="24"/>
                <w:szCs w:val="24"/>
              </w:rPr>
            </w:pPr>
            <w:r w:rsidRPr="00671CB7">
              <w:rPr>
                <w:rFonts w:ascii="Arial Narrow" w:hAnsi="Arial Narrow" w:cs="Arial"/>
                <w:sz w:val="24"/>
                <w:szCs w:val="24"/>
              </w:rPr>
              <w:t>N/A</w:t>
            </w:r>
          </w:p>
        </w:tc>
      </w:tr>
      <w:tr w:rsidR="001622AB" w:rsidRPr="001622AB" w:rsidTr="001622AB">
        <w:tc>
          <w:tcPr>
            <w:tcW w:w="988" w:type="dxa"/>
          </w:tcPr>
          <w:p w:rsidR="001622AB" w:rsidRPr="00671CB7" w:rsidRDefault="001622AB" w:rsidP="001622AB">
            <w:pPr>
              <w:autoSpaceDE w:val="0"/>
              <w:autoSpaceDN w:val="0"/>
              <w:adjustRightInd w:val="0"/>
              <w:spacing w:line="360" w:lineRule="auto"/>
              <w:jc w:val="both"/>
              <w:rPr>
                <w:rFonts w:ascii="Arial Narrow" w:hAnsi="Arial Narrow" w:cs="Times New Roman"/>
                <w:bCs/>
                <w:color w:val="000000"/>
                <w:sz w:val="24"/>
                <w:szCs w:val="24"/>
                <w:lang w:val="en-ZA"/>
              </w:rPr>
            </w:pPr>
            <w:proofErr w:type="spellStart"/>
            <w:r w:rsidRPr="00671CB7">
              <w:rPr>
                <w:rFonts w:ascii="Arial Narrow" w:hAnsi="Arial Narrow" w:cs="Times New Roman"/>
                <w:bCs/>
                <w:color w:val="000000"/>
                <w:sz w:val="24"/>
                <w:szCs w:val="24"/>
                <w:lang w:val="en-ZA"/>
              </w:rPr>
              <w:lastRenderedPageBreak/>
              <w:t>PetroSA</w:t>
            </w:r>
            <w:proofErr w:type="spellEnd"/>
          </w:p>
        </w:tc>
        <w:tc>
          <w:tcPr>
            <w:tcW w:w="3723" w:type="dxa"/>
          </w:tcPr>
          <w:p w:rsidR="001A5101" w:rsidRPr="00671CB7" w:rsidRDefault="001622AB" w:rsidP="001A5101">
            <w:pPr>
              <w:autoSpaceDE w:val="0"/>
              <w:autoSpaceDN w:val="0"/>
              <w:adjustRightInd w:val="0"/>
              <w:spacing w:line="360" w:lineRule="auto"/>
              <w:jc w:val="both"/>
              <w:rPr>
                <w:rFonts w:ascii="Arial Narrow" w:hAnsi="Arial Narrow"/>
                <w:sz w:val="24"/>
                <w:szCs w:val="24"/>
              </w:rPr>
            </w:pPr>
            <w:proofErr w:type="spellStart"/>
            <w:r w:rsidRPr="00671CB7">
              <w:rPr>
                <w:rFonts w:ascii="Arial Narrow" w:hAnsi="Arial Narrow"/>
                <w:sz w:val="24"/>
                <w:szCs w:val="24"/>
              </w:rPr>
              <w:t>PetroSA</w:t>
            </w:r>
            <w:proofErr w:type="spellEnd"/>
            <w:r w:rsidRPr="00671CB7">
              <w:rPr>
                <w:rFonts w:ascii="Arial Narrow" w:hAnsi="Arial Narrow"/>
                <w:sz w:val="24"/>
                <w:szCs w:val="24"/>
              </w:rPr>
              <w:t xml:space="preserve"> is claiming damages from </w:t>
            </w:r>
            <w:proofErr w:type="spellStart"/>
            <w:r w:rsidRPr="00671CB7">
              <w:rPr>
                <w:rFonts w:ascii="Arial Narrow" w:hAnsi="Arial Narrow"/>
                <w:sz w:val="24"/>
                <w:szCs w:val="24"/>
              </w:rPr>
              <w:t>Odjfjell</w:t>
            </w:r>
            <w:proofErr w:type="spellEnd"/>
            <w:r w:rsidRPr="00671CB7">
              <w:rPr>
                <w:rFonts w:ascii="Arial Narrow" w:hAnsi="Arial Narrow"/>
                <w:sz w:val="24"/>
                <w:szCs w:val="24"/>
              </w:rPr>
              <w:t xml:space="preserve"> for the pipeline damages</w:t>
            </w:r>
            <w:r w:rsidR="001A5101" w:rsidRPr="00671CB7">
              <w:rPr>
                <w:rFonts w:ascii="Arial Narrow" w:hAnsi="Arial Narrow"/>
                <w:sz w:val="24"/>
                <w:szCs w:val="24"/>
              </w:rPr>
              <w:t>.</w:t>
            </w:r>
            <w:r w:rsidRPr="00671CB7">
              <w:rPr>
                <w:rFonts w:ascii="Arial Narrow" w:hAnsi="Arial Narrow"/>
                <w:sz w:val="24"/>
                <w:szCs w:val="24"/>
              </w:rPr>
              <w:t xml:space="preserve"> </w:t>
            </w:r>
          </w:p>
          <w:p w:rsidR="001A5101" w:rsidRPr="00671CB7" w:rsidRDefault="001A5101" w:rsidP="001A5101">
            <w:pPr>
              <w:autoSpaceDE w:val="0"/>
              <w:autoSpaceDN w:val="0"/>
              <w:adjustRightInd w:val="0"/>
              <w:spacing w:line="360" w:lineRule="auto"/>
              <w:jc w:val="both"/>
              <w:rPr>
                <w:rFonts w:ascii="Arial Narrow" w:hAnsi="Arial Narrow"/>
                <w:sz w:val="24"/>
                <w:szCs w:val="24"/>
              </w:rPr>
            </w:pPr>
          </w:p>
          <w:p w:rsidR="001A5101" w:rsidRPr="00671CB7" w:rsidRDefault="001A5101" w:rsidP="001A5101">
            <w:pPr>
              <w:autoSpaceDE w:val="0"/>
              <w:autoSpaceDN w:val="0"/>
              <w:adjustRightInd w:val="0"/>
              <w:spacing w:line="360" w:lineRule="auto"/>
              <w:jc w:val="both"/>
              <w:rPr>
                <w:rFonts w:ascii="Arial Narrow" w:hAnsi="Arial Narrow"/>
                <w:sz w:val="24"/>
                <w:szCs w:val="24"/>
              </w:rPr>
            </w:pPr>
            <w:proofErr w:type="spellStart"/>
            <w:r w:rsidRPr="00671CB7">
              <w:rPr>
                <w:rFonts w:ascii="Arial Narrow" w:hAnsi="Arial Narrow"/>
                <w:sz w:val="24"/>
                <w:szCs w:val="24"/>
              </w:rPr>
              <w:t>PetroSA</w:t>
            </w:r>
            <w:proofErr w:type="spellEnd"/>
            <w:r w:rsidRPr="00671CB7">
              <w:rPr>
                <w:rFonts w:ascii="Arial Narrow" w:hAnsi="Arial Narrow"/>
                <w:sz w:val="24"/>
                <w:szCs w:val="24"/>
              </w:rPr>
              <w:t xml:space="preserve"> has instituted liquidation proceedings against Two Oceans for failing to honour payments for product sold</w:t>
            </w:r>
          </w:p>
          <w:p w:rsidR="001A5101" w:rsidRPr="00671CB7" w:rsidRDefault="001A5101" w:rsidP="001A5101">
            <w:pPr>
              <w:autoSpaceDE w:val="0"/>
              <w:autoSpaceDN w:val="0"/>
              <w:adjustRightInd w:val="0"/>
              <w:spacing w:line="360" w:lineRule="auto"/>
              <w:jc w:val="both"/>
              <w:rPr>
                <w:rFonts w:ascii="Arial Narrow" w:hAnsi="Arial Narrow"/>
                <w:sz w:val="24"/>
                <w:szCs w:val="24"/>
              </w:rPr>
            </w:pPr>
          </w:p>
          <w:p w:rsidR="001A5101" w:rsidRPr="00671CB7" w:rsidRDefault="001A5101" w:rsidP="001A5101">
            <w:pPr>
              <w:autoSpaceDE w:val="0"/>
              <w:autoSpaceDN w:val="0"/>
              <w:adjustRightInd w:val="0"/>
              <w:spacing w:line="360" w:lineRule="auto"/>
              <w:jc w:val="both"/>
              <w:rPr>
                <w:rFonts w:ascii="Arial Narrow" w:hAnsi="Arial Narrow"/>
                <w:sz w:val="24"/>
                <w:szCs w:val="24"/>
              </w:rPr>
            </w:pPr>
            <w:proofErr w:type="spellStart"/>
            <w:r w:rsidRPr="00671CB7">
              <w:rPr>
                <w:rFonts w:ascii="Arial Narrow" w:hAnsi="Arial Narrow"/>
                <w:sz w:val="24"/>
                <w:szCs w:val="24"/>
              </w:rPr>
              <w:t>PetroSA</w:t>
            </w:r>
            <w:proofErr w:type="spellEnd"/>
            <w:r w:rsidRPr="00671CB7">
              <w:rPr>
                <w:rFonts w:ascii="Arial Narrow" w:hAnsi="Arial Narrow"/>
                <w:sz w:val="24"/>
                <w:szCs w:val="24"/>
              </w:rPr>
              <w:t xml:space="preserve"> has obtained judgment against Fantastic View and a writ of execution has been issued</w:t>
            </w:r>
          </w:p>
          <w:p w:rsidR="001A5101" w:rsidRPr="00671CB7" w:rsidRDefault="001A5101" w:rsidP="001A5101">
            <w:pPr>
              <w:autoSpaceDE w:val="0"/>
              <w:autoSpaceDN w:val="0"/>
              <w:adjustRightInd w:val="0"/>
              <w:spacing w:line="360" w:lineRule="auto"/>
              <w:jc w:val="both"/>
              <w:rPr>
                <w:rFonts w:ascii="Arial Narrow" w:hAnsi="Arial Narrow" w:cs="Arial"/>
                <w:color w:val="000000"/>
                <w:sz w:val="24"/>
                <w:szCs w:val="24"/>
                <w:lang w:val="en-ZA"/>
              </w:rPr>
            </w:pPr>
          </w:p>
        </w:tc>
        <w:tc>
          <w:tcPr>
            <w:tcW w:w="2078" w:type="dxa"/>
          </w:tcPr>
          <w:p w:rsidR="001622AB" w:rsidRPr="00671CB7" w:rsidRDefault="001622AB" w:rsidP="001622AB">
            <w:pPr>
              <w:autoSpaceDE w:val="0"/>
              <w:autoSpaceDN w:val="0"/>
              <w:adjustRightInd w:val="0"/>
              <w:spacing w:line="360" w:lineRule="auto"/>
              <w:jc w:val="both"/>
              <w:rPr>
                <w:rFonts w:ascii="Arial Narrow" w:hAnsi="Arial Narrow"/>
                <w:sz w:val="24"/>
                <w:szCs w:val="24"/>
              </w:rPr>
            </w:pPr>
            <w:r w:rsidRPr="00671CB7">
              <w:rPr>
                <w:rFonts w:ascii="Arial Narrow" w:hAnsi="Arial Narrow"/>
                <w:sz w:val="24"/>
                <w:szCs w:val="24"/>
              </w:rPr>
              <w:t>R 11,462, 280.93</w:t>
            </w:r>
          </w:p>
          <w:p w:rsidR="001A5101" w:rsidRPr="00671CB7" w:rsidRDefault="001A5101" w:rsidP="001622AB">
            <w:pPr>
              <w:autoSpaceDE w:val="0"/>
              <w:autoSpaceDN w:val="0"/>
              <w:adjustRightInd w:val="0"/>
              <w:spacing w:line="360" w:lineRule="auto"/>
              <w:jc w:val="both"/>
              <w:rPr>
                <w:rFonts w:ascii="Arial Narrow" w:hAnsi="Arial Narrow"/>
                <w:sz w:val="24"/>
                <w:szCs w:val="24"/>
              </w:rPr>
            </w:pPr>
          </w:p>
          <w:p w:rsidR="001A5101" w:rsidRPr="00671CB7" w:rsidRDefault="001A5101" w:rsidP="001622AB">
            <w:pPr>
              <w:autoSpaceDE w:val="0"/>
              <w:autoSpaceDN w:val="0"/>
              <w:adjustRightInd w:val="0"/>
              <w:spacing w:line="360" w:lineRule="auto"/>
              <w:jc w:val="both"/>
              <w:rPr>
                <w:rFonts w:ascii="Arial Narrow" w:hAnsi="Arial Narrow"/>
                <w:sz w:val="24"/>
                <w:szCs w:val="24"/>
              </w:rPr>
            </w:pPr>
          </w:p>
          <w:p w:rsidR="001A5101" w:rsidRPr="00671CB7" w:rsidRDefault="001A5101" w:rsidP="001622AB">
            <w:pPr>
              <w:autoSpaceDE w:val="0"/>
              <w:autoSpaceDN w:val="0"/>
              <w:adjustRightInd w:val="0"/>
              <w:spacing w:line="360" w:lineRule="auto"/>
              <w:jc w:val="both"/>
              <w:rPr>
                <w:rFonts w:ascii="Arial Narrow" w:hAnsi="Arial Narrow"/>
                <w:sz w:val="24"/>
                <w:szCs w:val="24"/>
              </w:rPr>
            </w:pPr>
          </w:p>
          <w:p w:rsidR="001A5101" w:rsidRPr="00671CB7" w:rsidRDefault="001A5101" w:rsidP="001622AB">
            <w:pPr>
              <w:autoSpaceDE w:val="0"/>
              <w:autoSpaceDN w:val="0"/>
              <w:adjustRightInd w:val="0"/>
              <w:spacing w:line="360" w:lineRule="auto"/>
              <w:jc w:val="both"/>
              <w:rPr>
                <w:rFonts w:ascii="Arial Narrow" w:hAnsi="Arial Narrow"/>
                <w:sz w:val="24"/>
                <w:szCs w:val="24"/>
              </w:rPr>
            </w:pPr>
          </w:p>
          <w:p w:rsidR="001A5101" w:rsidRPr="00671CB7" w:rsidRDefault="001A5101" w:rsidP="001622AB">
            <w:pPr>
              <w:autoSpaceDE w:val="0"/>
              <w:autoSpaceDN w:val="0"/>
              <w:adjustRightInd w:val="0"/>
              <w:spacing w:line="360" w:lineRule="auto"/>
              <w:jc w:val="both"/>
              <w:rPr>
                <w:rFonts w:ascii="Arial Narrow" w:hAnsi="Arial Narrow"/>
                <w:sz w:val="24"/>
                <w:szCs w:val="24"/>
              </w:rPr>
            </w:pPr>
            <w:r w:rsidRPr="00671CB7">
              <w:rPr>
                <w:rFonts w:ascii="Arial Narrow" w:hAnsi="Arial Narrow"/>
                <w:sz w:val="24"/>
                <w:szCs w:val="24"/>
              </w:rPr>
              <w:t>R 1,457,266.26</w:t>
            </w:r>
          </w:p>
          <w:p w:rsidR="001A5101" w:rsidRPr="00671CB7" w:rsidRDefault="001A5101" w:rsidP="001622AB">
            <w:pPr>
              <w:autoSpaceDE w:val="0"/>
              <w:autoSpaceDN w:val="0"/>
              <w:adjustRightInd w:val="0"/>
              <w:spacing w:line="360" w:lineRule="auto"/>
              <w:jc w:val="both"/>
              <w:rPr>
                <w:rFonts w:ascii="Arial Narrow" w:hAnsi="Arial Narrow"/>
                <w:sz w:val="24"/>
                <w:szCs w:val="24"/>
              </w:rPr>
            </w:pPr>
          </w:p>
          <w:p w:rsidR="001A5101" w:rsidRPr="00671CB7" w:rsidRDefault="001A5101" w:rsidP="001622AB">
            <w:pPr>
              <w:autoSpaceDE w:val="0"/>
              <w:autoSpaceDN w:val="0"/>
              <w:adjustRightInd w:val="0"/>
              <w:spacing w:line="360" w:lineRule="auto"/>
              <w:jc w:val="both"/>
              <w:rPr>
                <w:rFonts w:ascii="Arial Narrow" w:hAnsi="Arial Narrow"/>
                <w:sz w:val="24"/>
                <w:szCs w:val="24"/>
              </w:rPr>
            </w:pPr>
          </w:p>
          <w:p w:rsidR="001A5101" w:rsidRPr="00671CB7" w:rsidRDefault="001A5101" w:rsidP="001622AB">
            <w:pPr>
              <w:autoSpaceDE w:val="0"/>
              <w:autoSpaceDN w:val="0"/>
              <w:adjustRightInd w:val="0"/>
              <w:spacing w:line="360" w:lineRule="auto"/>
              <w:jc w:val="both"/>
              <w:rPr>
                <w:rFonts w:ascii="Arial Narrow" w:hAnsi="Arial Narrow"/>
                <w:sz w:val="24"/>
                <w:szCs w:val="24"/>
              </w:rPr>
            </w:pPr>
          </w:p>
          <w:p w:rsidR="001A5101" w:rsidRPr="00671CB7" w:rsidRDefault="001A5101" w:rsidP="001622AB">
            <w:pPr>
              <w:autoSpaceDE w:val="0"/>
              <w:autoSpaceDN w:val="0"/>
              <w:adjustRightInd w:val="0"/>
              <w:spacing w:line="360" w:lineRule="auto"/>
              <w:jc w:val="both"/>
              <w:rPr>
                <w:rFonts w:ascii="Arial Narrow" w:hAnsi="Arial Narrow"/>
                <w:sz w:val="24"/>
                <w:szCs w:val="24"/>
              </w:rPr>
            </w:pPr>
            <w:r w:rsidRPr="00671CB7">
              <w:rPr>
                <w:rFonts w:ascii="Arial Narrow" w:hAnsi="Arial Narrow"/>
                <w:sz w:val="24"/>
                <w:szCs w:val="24"/>
              </w:rPr>
              <w:t>R 738,755.57</w:t>
            </w:r>
          </w:p>
        </w:tc>
        <w:tc>
          <w:tcPr>
            <w:tcW w:w="3129" w:type="dxa"/>
          </w:tcPr>
          <w:p w:rsidR="001622AB" w:rsidRPr="00671CB7" w:rsidRDefault="001A5101" w:rsidP="001622AB">
            <w:pPr>
              <w:autoSpaceDE w:val="0"/>
              <w:autoSpaceDN w:val="0"/>
              <w:adjustRightInd w:val="0"/>
              <w:spacing w:line="360" w:lineRule="auto"/>
              <w:jc w:val="both"/>
              <w:rPr>
                <w:rFonts w:ascii="Arial Narrow" w:hAnsi="Arial Narrow" w:cs="Arial"/>
                <w:sz w:val="24"/>
                <w:szCs w:val="24"/>
              </w:rPr>
            </w:pPr>
            <w:r w:rsidRPr="00671CB7">
              <w:rPr>
                <w:rFonts w:ascii="Arial Narrow" w:hAnsi="Arial Narrow"/>
                <w:sz w:val="24"/>
                <w:szCs w:val="24"/>
              </w:rPr>
              <w:t>Judgment is pending</w:t>
            </w:r>
          </w:p>
        </w:tc>
      </w:tr>
      <w:tr w:rsidR="001A5101" w:rsidRPr="001622AB" w:rsidTr="001622AB">
        <w:tc>
          <w:tcPr>
            <w:tcW w:w="988" w:type="dxa"/>
          </w:tcPr>
          <w:p w:rsidR="001A5101" w:rsidRPr="00671CB7" w:rsidRDefault="001A5101" w:rsidP="001622AB">
            <w:pPr>
              <w:autoSpaceDE w:val="0"/>
              <w:autoSpaceDN w:val="0"/>
              <w:adjustRightInd w:val="0"/>
              <w:spacing w:line="360" w:lineRule="auto"/>
              <w:jc w:val="both"/>
              <w:rPr>
                <w:rFonts w:ascii="Arial Narrow" w:hAnsi="Arial Narrow" w:cs="Times New Roman"/>
                <w:bCs/>
                <w:color w:val="000000"/>
                <w:sz w:val="24"/>
                <w:szCs w:val="24"/>
                <w:lang w:val="en-ZA"/>
              </w:rPr>
            </w:pPr>
            <w:r w:rsidRPr="00671CB7">
              <w:rPr>
                <w:rFonts w:ascii="Arial Narrow" w:hAnsi="Arial Narrow" w:cs="Times New Roman"/>
                <w:bCs/>
                <w:color w:val="000000"/>
                <w:sz w:val="24"/>
                <w:szCs w:val="24"/>
                <w:lang w:val="en-ZA"/>
              </w:rPr>
              <w:t>AEMFC</w:t>
            </w:r>
          </w:p>
        </w:tc>
        <w:tc>
          <w:tcPr>
            <w:tcW w:w="3723" w:type="dxa"/>
          </w:tcPr>
          <w:p w:rsidR="001A5101" w:rsidRPr="00671CB7" w:rsidRDefault="001A5101" w:rsidP="001A5101">
            <w:pPr>
              <w:autoSpaceDE w:val="0"/>
              <w:autoSpaceDN w:val="0"/>
              <w:adjustRightInd w:val="0"/>
              <w:spacing w:line="360" w:lineRule="auto"/>
              <w:jc w:val="both"/>
              <w:rPr>
                <w:rFonts w:ascii="Arial Narrow" w:hAnsi="Arial Narrow" w:cs="Arial"/>
                <w:sz w:val="24"/>
                <w:szCs w:val="24"/>
              </w:rPr>
            </w:pPr>
            <w:r w:rsidRPr="00671CB7">
              <w:rPr>
                <w:rFonts w:ascii="Arial Narrow" w:hAnsi="Arial Narrow" w:cs="Arial"/>
                <w:sz w:val="24"/>
                <w:szCs w:val="24"/>
              </w:rPr>
              <w:t xml:space="preserve">The supplier being </w:t>
            </w:r>
            <w:proofErr w:type="spellStart"/>
            <w:r w:rsidRPr="00671CB7">
              <w:rPr>
                <w:rFonts w:ascii="Arial Narrow" w:hAnsi="Arial Narrow" w:cs="Arial"/>
                <w:sz w:val="24"/>
                <w:szCs w:val="24"/>
              </w:rPr>
              <w:t>Innovent</w:t>
            </w:r>
            <w:proofErr w:type="spellEnd"/>
            <w:r w:rsidRPr="00671CB7">
              <w:rPr>
                <w:rFonts w:ascii="Arial Narrow" w:hAnsi="Arial Narrow" w:cs="Arial"/>
                <w:sz w:val="24"/>
                <w:szCs w:val="24"/>
              </w:rPr>
              <w:t xml:space="preserve"> was found to have misrepresented AEMFC on registration with the Financial Service Board. </w:t>
            </w:r>
          </w:p>
          <w:p w:rsidR="001A5101" w:rsidRPr="00671CB7" w:rsidRDefault="001A5101" w:rsidP="001A5101">
            <w:pPr>
              <w:autoSpaceDE w:val="0"/>
              <w:autoSpaceDN w:val="0"/>
              <w:adjustRightInd w:val="0"/>
              <w:spacing w:line="360" w:lineRule="auto"/>
              <w:jc w:val="both"/>
              <w:rPr>
                <w:rFonts w:ascii="Arial Narrow" w:hAnsi="Arial Narrow" w:cs="Arial"/>
                <w:sz w:val="24"/>
                <w:szCs w:val="24"/>
              </w:rPr>
            </w:pPr>
          </w:p>
          <w:p w:rsidR="001A5101" w:rsidRPr="00671CB7" w:rsidRDefault="001A5101" w:rsidP="001A5101">
            <w:pPr>
              <w:autoSpaceDE w:val="0"/>
              <w:autoSpaceDN w:val="0"/>
              <w:adjustRightInd w:val="0"/>
              <w:spacing w:line="360" w:lineRule="auto"/>
              <w:jc w:val="both"/>
              <w:rPr>
                <w:rFonts w:ascii="Arial Narrow" w:hAnsi="Arial Narrow"/>
                <w:sz w:val="24"/>
                <w:szCs w:val="24"/>
              </w:rPr>
            </w:pPr>
            <w:r w:rsidRPr="00671CB7">
              <w:rPr>
                <w:rFonts w:ascii="Arial Narrow" w:hAnsi="Arial Narrow"/>
                <w:sz w:val="24"/>
                <w:szCs w:val="24"/>
              </w:rPr>
              <w:t xml:space="preserve">AEMFC concluded a settlement agreement with NUM in 2017 at the CCMA which was made an Arbitration award and amongst the item agreed upon was that AEMFC will pay the 13th cheque each December. In 2019 there was another agreement which states that it supersedes all the previous agreements and a new bonus scheme which was performance bonus was introduced. Bargaining employees in 2019 as per the new agreement received 50% of their CTC as performance bonus and the 13th Cheque was not paid. NUM has now obtained an Arbitration award against </w:t>
            </w:r>
            <w:r w:rsidRPr="00671CB7">
              <w:rPr>
                <w:rFonts w:ascii="Arial Narrow" w:hAnsi="Arial Narrow"/>
                <w:sz w:val="24"/>
                <w:szCs w:val="24"/>
              </w:rPr>
              <w:lastRenderedPageBreak/>
              <w:t xml:space="preserve">AEMFC demanding the 13th Cheque for December 2019. </w:t>
            </w:r>
            <w:proofErr w:type="spellStart"/>
            <w:r w:rsidRPr="00671CB7">
              <w:rPr>
                <w:rFonts w:ascii="Arial Narrow" w:hAnsi="Arial Narrow"/>
                <w:sz w:val="24"/>
                <w:szCs w:val="24"/>
              </w:rPr>
              <w:t>Persuant</w:t>
            </w:r>
            <w:proofErr w:type="spellEnd"/>
            <w:r w:rsidRPr="00671CB7">
              <w:rPr>
                <w:rFonts w:ascii="Arial Narrow" w:hAnsi="Arial Narrow"/>
                <w:sz w:val="24"/>
                <w:szCs w:val="24"/>
              </w:rPr>
              <w:t xml:space="preserve"> to the Arbitration award, NUM applied for enforcement order of R2.9M which was granted and AEMFC property was attached by the sheriff. AEMFC has applied to the Labour Court to stay the enforcement order pending the rescission of the of the Arbitration award. The argument by AEMFC is that, the 2017 agreement was superseded by the 2019 agreement and further that the 13th Cheque must be from the employee’s salary and not at employers costs.</w:t>
            </w:r>
          </w:p>
          <w:p w:rsidR="001A5101" w:rsidRPr="00671CB7" w:rsidRDefault="001A5101" w:rsidP="001A5101">
            <w:pPr>
              <w:autoSpaceDE w:val="0"/>
              <w:autoSpaceDN w:val="0"/>
              <w:adjustRightInd w:val="0"/>
              <w:spacing w:line="360" w:lineRule="auto"/>
              <w:jc w:val="both"/>
              <w:rPr>
                <w:rFonts w:ascii="Arial Narrow" w:hAnsi="Arial Narrow"/>
                <w:sz w:val="24"/>
                <w:szCs w:val="24"/>
              </w:rPr>
            </w:pPr>
          </w:p>
          <w:p w:rsidR="001A5101" w:rsidRPr="00671CB7" w:rsidRDefault="001A5101" w:rsidP="001A5101">
            <w:pPr>
              <w:autoSpaceDE w:val="0"/>
              <w:autoSpaceDN w:val="0"/>
              <w:adjustRightInd w:val="0"/>
              <w:spacing w:line="360" w:lineRule="auto"/>
              <w:jc w:val="both"/>
              <w:rPr>
                <w:rFonts w:ascii="Arial Narrow" w:hAnsi="Arial Narrow"/>
                <w:sz w:val="24"/>
                <w:szCs w:val="24"/>
              </w:rPr>
            </w:pPr>
            <w:r w:rsidRPr="00671CB7">
              <w:rPr>
                <w:rFonts w:ascii="Arial Narrow" w:hAnsi="Arial Narrow"/>
                <w:sz w:val="24"/>
                <w:szCs w:val="24"/>
              </w:rPr>
              <w:t xml:space="preserve">An AEMFC former Senior Employee concluded a collecting Agreement with NUM in terms of which AEMFC will pay the risk allowance to employees who worked during the lockdown. In terms of the AEMFC LOA the collective agreement must be recommended by EXCO to the board for approval. The submission to the board by the former employed did not disclose that a collective agreement is already signed but created the impression that AEMFC must make a once off payment of R2.6 million for 5 weeks lockdown. AEMFC made a once off payment and the union lodge a grievance with the CCMA to enforcement the collecting agreement </w:t>
            </w:r>
            <w:r w:rsidRPr="00671CB7">
              <w:rPr>
                <w:rFonts w:ascii="Arial Narrow" w:hAnsi="Arial Narrow"/>
                <w:sz w:val="24"/>
                <w:szCs w:val="24"/>
              </w:rPr>
              <w:lastRenderedPageBreak/>
              <w:t>signed with the former employee. AEMFC disputed the validity of the collective agreement since it was not approved by EXCO and board and an urgent court application was filed to interdict CCMA to proceed with the matter pending review of the decision by AEMFC former employee to sign a collective agreement without authority.</w:t>
            </w:r>
          </w:p>
        </w:tc>
        <w:tc>
          <w:tcPr>
            <w:tcW w:w="2078" w:type="dxa"/>
          </w:tcPr>
          <w:p w:rsidR="001A5101" w:rsidRPr="00671CB7" w:rsidRDefault="001A5101" w:rsidP="001622AB">
            <w:pPr>
              <w:autoSpaceDE w:val="0"/>
              <w:autoSpaceDN w:val="0"/>
              <w:adjustRightInd w:val="0"/>
              <w:spacing w:line="360" w:lineRule="auto"/>
              <w:jc w:val="both"/>
              <w:rPr>
                <w:rFonts w:ascii="Arial Narrow" w:hAnsi="Arial Narrow" w:cs="Arial"/>
                <w:sz w:val="24"/>
                <w:szCs w:val="24"/>
              </w:rPr>
            </w:pPr>
            <w:r w:rsidRPr="00671CB7">
              <w:rPr>
                <w:rFonts w:ascii="Arial Narrow" w:hAnsi="Arial Narrow" w:cs="Arial"/>
                <w:sz w:val="24"/>
                <w:szCs w:val="24"/>
              </w:rPr>
              <w:lastRenderedPageBreak/>
              <w:t>R 241 016.43</w:t>
            </w:r>
          </w:p>
          <w:p w:rsidR="001A5101" w:rsidRPr="00671CB7" w:rsidRDefault="001A5101" w:rsidP="001622AB">
            <w:pPr>
              <w:autoSpaceDE w:val="0"/>
              <w:autoSpaceDN w:val="0"/>
              <w:adjustRightInd w:val="0"/>
              <w:spacing w:line="360" w:lineRule="auto"/>
              <w:jc w:val="both"/>
              <w:rPr>
                <w:rFonts w:ascii="Arial Narrow" w:hAnsi="Arial Narrow" w:cs="Arial"/>
                <w:sz w:val="24"/>
                <w:szCs w:val="24"/>
              </w:rPr>
            </w:pPr>
          </w:p>
          <w:p w:rsidR="001A5101" w:rsidRPr="00671CB7" w:rsidRDefault="001A5101" w:rsidP="001622AB">
            <w:pPr>
              <w:autoSpaceDE w:val="0"/>
              <w:autoSpaceDN w:val="0"/>
              <w:adjustRightInd w:val="0"/>
              <w:spacing w:line="360" w:lineRule="auto"/>
              <w:jc w:val="both"/>
              <w:rPr>
                <w:rFonts w:ascii="Arial Narrow" w:hAnsi="Arial Narrow" w:cs="Arial"/>
                <w:sz w:val="24"/>
                <w:szCs w:val="24"/>
              </w:rPr>
            </w:pPr>
          </w:p>
          <w:p w:rsidR="001A5101" w:rsidRPr="00671CB7" w:rsidRDefault="001A5101" w:rsidP="001622AB">
            <w:pPr>
              <w:autoSpaceDE w:val="0"/>
              <w:autoSpaceDN w:val="0"/>
              <w:adjustRightInd w:val="0"/>
              <w:spacing w:line="360" w:lineRule="auto"/>
              <w:jc w:val="both"/>
              <w:rPr>
                <w:rFonts w:ascii="Arial Narrow" w:hAnsi="Arial Narrow" w:cs="Arial"/>
                <w:sz w:val="24"/>
                <w:szCs w:val="24"/>
              </w:rPr>
            </w:pPr>
          </w:p>
          <w:p w:rsidR="001A5101" w:rsidRPr="00671CB7" w:rsidRDefault="001A5101" w:rsidP="001622AB">
            <w:pPr>
              <w:autoSpaceDE w:val="0"/>
              <w:autoSpaceDN w:val="0"/>
              <w:adjustRightInd w:val="0"/>
              <w:spacing w:line="360" w:lineRule="auto"/>
              <w:jc w:val="both"/>
              <w:rPr>
                <w:rFonts w:ascii="Arial Narrow" w:hAnsi="Arial Narrow" w:cs="Arial"/>
                <w:sz w:val="24"/>
                <w:szCs w:val="24"/>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r w:rsidRPr="00671CB7">
              <w:rPr>
                <w:rFonts w:ascii="Arial Narrow" w:hAnsi="Arial Narrow" w:cs="Times New Roman"/>
                <w:color w:val="000000"/>
                <w:sz w:val="24"/>
                <w:szCs w:val="24"/>
                <w:lang w:val="en-ZA"/>
              </w:rPr>
              <w:t>R 192, 510.00</w:t>
            </w: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A5101">
            <w:pPr>
              <w:autoSpaceDE w:val="0"/>
              <w:autoSpaceDN w:val="0"/>
              <w:adjustRightInd w:val="0"/>
              <w:spacing w:line="360" w:lineRule="auto"/>
              <w:jc w:val="both"/>
              <w:rPr>
                <w:rFonts w:ascii="Arial Narrow" w:hAnsi="Arial Narrow"/>
                <w:sz w:val="24"/>
                <w:szCs w:val="24"/>
              </w:rPr>
            </w:pPr>
          </w:p>
          <w:p w:rsidR="001A5101" w:rsidRPr="00671CB7" w:rsidRDefault="001A5101" w:rsidP="001A5101">
            <w:pPr>
              <w:autoSpaceDE w:val="0"/>
              <w:autoSpaceDN w:val="0"/>
              <w:adjustRightInd w:val="0"/>
              <w:spacing w:line="360" w:lineRule="auto"/>
              <w:jc w:val="both"/>
              <w:rPr>
                <w:rFonts w:ascii="Arial Narrow" w:hAnsi="Arial Narrow"/>
                <w:sz w:val="24"/>
                <w:szCs w:val="24"/>
              </w:rPr>
            </w:pP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r w:rsidRPr="00671CB7">
              <w:rPr>
                <w:rFonts w:ascii="Arial Narrow" w:hAnsi="Arial Narrow"/>
                <w:sz w:val="24"/>
                <w:szCs w:val="24"/>
              </w:rPr>
              <w:t>R 283,496. 62</w:t>
            </w:r>
          </w:p>
          <w:p w:rsidR="001A5101" w:rsidRPr="00671CB7" w:rsidRDefault="001A5101" w:rsidP="001A5101">
            <w:pPr>
              <w:autoSpaceDE w:val="0"/>
              <w:autoSpaceDN w:val="0"/>
              <w:adjustRightInd w:val="0"/>
              <w:spacing w:line="360" w:lineRule="auto"/>
              <w:jc w:val="both"/>
              <w:rPr>
                <w:rFonts w:ascii="Arial Narrow" w:hAnsi="Arial Narrow" w:cs="Times New Roman"/>
                <w:color w:val="000000"/>
                <w:sz w:val="24"/>
                <w:szCs w:val="24"/>
                <w:lang w:val="en-ZA"/>
              </w:rPr>
            </w:pPr>
          </w:p>
          <w:p w:rsidR="001A5101" w:rsidRPr="00671CB7" w:rsidRDefault="001A5101" w:rsidP="001622AB">
            <w:pPr>
              <w:autoSpaceDE w:val="0"/>
              <w:autoSpaceDN w:val="0"/>
              <w:adjustRightInd w:val="0"/>
              <w:spacing w:line="360" w:lineRule="auto"/>
              <w:jc w:val="both"/>
              <w:rPr>
                <w:rFonts w:ascii="Arial Narrow" w:hAnsi="Arial Narrow"/>
                <w:sz w:val="24"/>
                <w:szCs w:val="24"/>
              </w:rPr>
            </w:pPr>
          </w:p>
        </w:tc>
        <w:tc>
          <w:tcPr>
            <w:tcW w:w="3129" w:type="dxa"/>
          </w:tcPr>
          <w:p w:rsidR="001A5101" w:rsidRPr="00671CB7" w:rsidRDefault="001A5101" w:rsidP="001622AB">
            <w:pPr>
              <w:autoSpaceDE w:val="0"/>
              <w:autoSpaceDN w:val="0"/>
              <w:adjustRightInd w:val="0"/>
              <w:spacing w:line="360" w:lineRule="auto"/>
              <w:jc w:val="both"/>
              <w:rPr>
                <w:rFonts w:ascii="Arial Narrow" w:hAnsi="Arial Narrow"/>
                <w:sz w:val="24"/>
                <w:szCs w:val="24"/>
              </w:rPr>
            </w:pPr>
            <w:r w:rsidRPr="00671CB7">
              <w:rPr>
                <w:rFonts w:ascii="Arial Narrow" w:hAnsi="Arial Narrow" w:cs="Arial"/>
                <w:sz w:val="24"/>
                <w:szCs w:val="24"/>
              </w:rPr>
              <w:lastRenderedPageBreak/>
              <w:t>The contract was classified as Irregular expenditure by National Treasury.</w:t>
            </w:r>
          </w:p>
        </w:tc>
      </w:tr>
    </w:tbl>
    <w:p w:rsidR="00B02B19" w:rsidRDefault="00B02B19" w:rsidP="00E82F17">
      <w:pPr>
        <w:pStyle w:val="Default"/>
        <w:spacing w:line="360" w:lineRule="auto"/>
        <w:jc w:val="both"/>
        <w:rPr>
          <w:rFonts w:ascii="Arial Narrow" w:hAnsi="Arial Narrow"/>
          <w:bCs/>
        </w:rPr>
      </w:pPr>
    </w:p>
    <w:p w:rsidR="00B02B19" w:rsidRDefault="00B02B19" w:rsidP="00E82F17">
      <w:pPr>
        <w:pStyle w:val="Default"/>
        <w:spacing w:line="360" w:lineRule="auto"/>
        <w:jc w:val="both"/>
        <w:rPr>
          <w:rFonts w:ascii="Arial Narrow" w:hAnsi="Arial Narrow"/>
          <w:b/>
        </w:rPr>
      </w:pPr>
      <w:r w:rsidRPr="00B02B19">
        <w:rPr>
          <w:rFonts w:ascii="Arial Narrow" w:hAnsi="Arial Narrow"/>
          <w:b/>
        </w:rPr>
        <w:t>NATIONAL ENERGY REGULATOR OF SOUTH AFRICA (NERSA)</w:t>
      </w:r>
    </w:p>
    <w:p w:rsidR="00671CB7" w:rsidRDefault="00671CB7" w:rsidP="00E82F17">
      <w:pPr>
        <w:pStyle w:val="Default"/>
        <w:spacing w:line="360" w:lineRule="auto"/>
        <w:jc w:val="both"/>
        <w:rPr>
          <w:rFonts w:ascii="Arial Narrow" w:hAnsi="Arial Narrow"/>
          <w:b/>
        </w:rPr>
      </w:pPr>
    </w:p>
    <w:tbl>
      <w:tblPr>
        <w:tblStyle w:val="TableGrid"/>
        <w:tblW w:w="0" w:type="auto"/>
        <w:tblLook w:val="04A0"/>
      </w:tblPr>
      <w:tblGrid>
        <w:gridCol w:w="561"/>
        <w:gridCol w:w="2298"/>
        <w:gridCol w:w="2353"/>
        <w:gridCol w:w="1997"/>
        <w:gridCol w:w="2033"/>
      </w:tblGrid>
      <w:tr w:rsidR="00B02B19" w:rsidTr="00B02B19">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02B19" w:rsidRDefault="00B02B19">
            <w:pPr>
              <w:pStyle w:val="Default"/>
              <w:spacing w:line="360" w:lineRule="auto"/>
              <w:jc w:val="both"/>
              <w:rPr>
                <w:rFonts w:ascii="Arial Narrow" w:hAnsi="Arial Narrow"/>
                <w:b/>
              </w:rPr>
            </w:pPr>
            <w:r>
              <w:rPr>
                <w:rFonts w:ascii="Arial Narrow" w:hAnsi="Arial Narrow"/>
                <w:b/>
              </w:rPr>
              <w:t>No.</w:t>
            </w:r>
          </w:p>
        </w:tc>
        <w:tc>
          <w:tcPr>
            <w:tcW w:w="231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02B19" w:rsidRDefault="00B02B19" w:rsidP="00B02B19">
            <w:pPr>
              <w:pStyle w:val="Default"/>
              <w:numPr>
                <w:ilvl w:val="0"/>
                <w:numId w:val="7"/>
              </w:numPr>
              <w:spacing w:line="360" w:lineRule="auto"/>
              <w:ind w:left="185" w:hanging="290"/>
              <w:jc w:val="both"/>
              <w:rPr>
                <w:rFonts w:ascii="Arial Narrow" w:hAnsi="Arial Narrow"/>
                <w:b/>
              </w:rPr>
            </w:pPr>
            <w:r>
              <w:rPr>
                <w:rFonts w:ascii="Arial Narrow" w:hAnsi="Arial Narrow"/>
                <w:b/>
              </w:rPr>
              <w:t>Type of Litigation Matter</w:t>
            </w:r>
          </w:p>
        </w:tc>
        <w:tc>
          <w:tcPr>
            <w:tcW w:w="235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02B19" w:rsidRDefault="00B02B19" w:rsidP="00B02B19">
            <w:pPr>
              <w:pStyle w:val="Default"/>
              <w:numPr>
                <w:ilvl w:val="0"/>
                <w:numId w:val="8"/>
              </w:numPr>
              <w:spacing w:line="360" w:lineRule="auto"/>
              <w:ind w:left="323" w:hanging="284"/>
              <w:jc w:val="both"/>
              <w:rPr>
                <w:rFonts w:ascii="Arial Narrow" w:hAnsi="Arial Narrow"/>
                <w:b/>
              </w:rPr>
            </w:pPr>
            <w:r>
              <w:rPr>
                <w:rFonts w:ascii="Arial Narrow" w:hAnsi="Arial Narrow"/>
                <w:b/>
              </w:rPr>
              <w:t>Breakdown of Legal Matters</w:t>
            </w:r>
          </w:p>
        </w:tc>
        <w:tc>
          <w:tcPr>
            <w:tcW w:w="200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02B19" w:rsidRDefault="00B02B19" w:rsidP="00B02B19">
            <w:pPr>
              <w:pStyle w:val="Default"/>
              <w:numPr>
                <w:ilvl w:val="0"/>
                <w:numId w:val="8"/>
              </w:numPr>
              <w:spacing w:line="360" w:lineRule="auto"/>
              <w:ind w:left="441" w:hanging="441"/>
              <w:jc w:val="both"/>
              <w:rPr>
                <w:rFonts w:ascii="Arial Narrow" w:hAnsi="Arial Narrow"/>
                <w:b/>
              </w:rPr>
            </w:pPr>
            <w:r>
              <w:rPr>
                <w:rFonts w:ascii="Arial Narrow" w:hAnsi="Arial Narrow"/>
                <w:b/>
              </w:rPr>
              <w:t>Related Costs</w:t>
            </w:r>
          </w:p>
        </w:tc>
        <w:tc>
          <w:tcPr>
            <w:tcW w:w="177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02B19" w:rsidRDefault="00B02B19" w:rsidP="00B02B19">
            <w:pPr>
              <w:pStyle w:val="Default"/>
              <w:numPr>
                <w:ilvl w:val="0"/>
                <w:numId w:val="7"/>
              </w:numPr>
              <w:spacing w:line="360" w:lineRule="auto"/>
              <w:ind w:left="132" w:hanging="142"/>
              <w:jc w:val="both"/>
              <w:rPr>
                <w:rFonts w:ascii="Arial Narrow" w:hAnsi="Arial Narrow"/>
                <w:b/>
              </w:rPr>
            </w:pPr>
            <w:r>
              <w:rPr>
                <w:rFonts w:ascii="Arial Narrow" w:hAnsi="Arial Narrow"/>
                <w:b/>
              </w:rPr>
              <w:t>Reasons for not using own internal processes</w:t>
            </w:r>
          </w:p>
        </w:tc>
      </w:tr>
      <w:tr w:rsidR="00B02B19" w:rsidTr="00B02B19">
        <w:tc>
          <w:tcPr>
            <w:tcW w:w="562"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rPr>
              <w:t xml:space="preserve">1. </w:t>
            </w:r>
          </w:p>
        </w:tc>
        <w:tc>
          <w:tcPr>
            <w:tcW w:w="2314"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bCs/>
              </w:rPr>
              <w:t xml:space="preserve">Judicial review </w:t>
            </w:r>
          </w:p>
        </w:tc>
        <w:tc>
          <w:tcPr>
            <w:tcW w:w="2357"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b/>
              </w:rPr>
              <w:t>ESKOM</w:t>
            </w:r>
            <w:r>
              <w:rPr>
                <w:rFonts w:ascii="Arial Narrow" w:hAnsi="Arial Narrow"/>
              </w:rPr>
              <w:t>-</w:t>
            </w:r>
            <w:r>
              <w:rPr>
                <w:rFonts w:ascii="Arial Narrow" w:hAnsi="Arial Narrow"/>
                <w:bCs/>
              </w:rPr>
              <w:t xml:space="preserve"> Case arises from the decision of the Energy Regulator approving the MYPD3 RCA5 and Eskom is unhappy with the outcome. Eskom has taken the decision on judicial review.</w:t>
            </w:r>
          </w:p>
        </w:tc>
        <w:tc>
          <w:tcPr>
            <w:tcW w:w="2007"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bCs/>
              </w:rPr>
              <w:t>R1 750 000.00</w:t>
            </w:r>
          </w:p>
        </w:tc>
        <w:tc>
          <w:tcPr>
            <w:tcW w:w="1776"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rPr>
              <w:t>Only lawyers in the practising roll can appear in court. Despite NERSA legal advisors are all admitted attorneys/advocates, they cannot appear in court.</w:t>
            </w:r>
          </w:p>
        </w:tc>
      </w:tr>
      <w:tr w:rsidR="00B02B19" w:rsidTr="00B02B19">
        <w:tc>
          <w:tcPr>
            <w:tcW w:w="562"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rPr>
              <w:t>2.</w:t>
            </w:r>
          </w:p>
        </w:tc>
        <w:tc>
          <w:tcPr>
            <w:tcW w:w="2314"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rPr>
              <w:t>Judicial review</w:t>
            </w:r>
          </w:p>
        </w:tc>
        <w:tc>
          <w:tcPr>
            <w:tcW w:w="2357"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b/>
              </w:rPr>
              <w:t>AFGRI/PHILAFRICA</w:t>
            </w:r>
            <w:r>
              <w:rPr>
                <w:rFonts w:ascii="Arial Narrow" w:hAnsi="Arial Narrow"/>
              </w:rPr>
              <w:t xml:space="preserve">- The judicial review case arises from the decision of the Energy Regulator not to amend or revoke the distribution licence of </w:t>
            </w:r>
            <w:proofErr w:type="spellStart"/>
            <w:r>
              <w:rPr>
                <w:rFonts w:ascii="Arial Narrow" w:hAnsi="Arial Narrow"/>
              </w:rPr>
              <w:t>Maluti</w:t>
            </w:r>
            <w:proofErr w:type="spellEnd"/>
            <w:r>
              <w:rPr>
                <w:rFonts w:ascii="Arial Narrow" w:hAnsi="Arial Narrow"/>
              </w:rPr>
              <w:t xml:space="preserve"> a </w:t>
            </w:r>
            <w:proofErr w:type="spellStart"/>
            <w:r>
              <w:rPr>
                <w:rFonts w:ascii="Arial Narrow" w:hAnsi="Arial Narrow"/>
              </w:rPr>
              <w:t>Phofung</w:t>
            </w:r>
            <w:proofErr w:type="spellEnd"/>
            <w:r>
              <w:rPr>
                <w:rFonts w:ascii="Arial Narrow" w:hAnsi="Arial Narrow"/>
              </w:rPr>
              <w:t xml:space="preserve"> Local Municipality </w:t>
            </w:r>
            <w:r>
              <w:rPr>
                <w:rFonts w:ascii="Arial Narrow" w:hAnsi="Arial Narrow"/>
              </w:rPr>
              <w:lastRenderedPageBreak/>
              <w:t>licence.</w:t>
            </w:r>
          </w:p>
        </w:tc>
        <w:tc>
          <w:tcPr>
            <w:tcW w:w="2007"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rPr>
              <w:lastRenderedPageBreak/>
              <w:t>2 900 000.00</w:t>
            </w:r>
          </w:p>
        </w:tc>
        <w:tc>
          <w:tcPr>
            <w:tcW w:w="1776"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rPr>
              <w:t xml:space="preserve">Only lawyers in the practising roll can appear in court. Despite NERSA legal advisors are all admitted attorneys/advocates, they cannot appear </w:t>
            </w:r>
            <w:r>
              <w:rPr>
                <w:rFonts w:ascii="Arial Narrow" w:hAnsi="Arial Narrow"/>
              </w:rPr>
              <w:lastRenderedPageBreak/>
              <w:t>in court.</w:t>
            </w:r>
          </w:p>
        </w:tc>
      </w:tr>
      <w:tr w:rsidR="00B02B19" w:rsidTr="00B02B19">
        <w:tc>
          <w:tcPr>
            <w:tcW w:w="562"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rPr>
              <w:lastRenderedPageBreak/>
              <w:t>3.</w:t>
            </w:r>
          </w:p>
        </w:tc>
        <w:tc>
          <w:tcPr>
            <w:tcW w:w="2314"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rPr>
              <w:t>Judicial review</w:t>
            </w:r>
          </w:p>
        </w:tc>
        <w:tc>
          <w:tcPr>
            <w:tcW w:w="2357"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proofErr w:type="spellStart"/>
            <w:r>
              <w:rPr>
                <w:rFonts w:ascii="Arial Narrow" w:hAnsi="Arial Narrow"/>
                <w:b/>
              </w:rPr>
              <w:t>Drakenstein</w:t>
            </w:r>
            <w:proofErr w:type="spellEnd"/>
            <w:r>
              <w:rPr>
                <w:rFonts w:ascii="Arial Narrow" w:hAnsi="Arial Narrow"/>
                <w:b/>
              </w:rPr>
              <w:t xml:space="preserve"> Local Municipality</w:t>
            </w:r>
            <w:r>
              <w:rPr>
                <w:rFonts w:ascii="Arial Narrow" w:hAnsi="Arial Narrow"/>
              </w:rPr>
              <w:t>. The judicial review arises from the decision of the Energy Regulator not to approve some of the tariffs of the municipality during 2019/20 because of the impact that it would have had on the customers.</w:t>
            </w:r>
          </w:p>
        </w:tc>
        <w:tc>
          <w:tcPr>
            <w:tcW w:w="2007"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rPr>
              <w:t>R2 200 000.00</w:t>
            </w:r>
          </w:p>
        </w:tc>
        <w:tc>
          <w:tcPr>
            <w:tcW w:w="1776"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rPr>
              <w:t>Only lawyers in the practising roll can appear in court. Despite NERSA legal advisors are all admitted attorneys/advocates, they cannot appear in court.</w:t>
            </w:r>
          </w:p>
        </w:tc>
      </w:tr>
      <w:tr w:rsidR="00B02B19" w:rsidTr="00B02B19">
        <w:tc>
          <w:tcPr>
            <w:tcW w:w="562"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rPr>
              <w:t>4.</w:t>
            </w:r>
          </w:p>
        </w:tc>
        <w:tc>
          <w:tcPr>
            <w:tcW w:w="2314"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rPr>
              <w:t>Judicial review/ Implementation of order pending appeal/ leave to appeal</w:t>
            </w:r>
          </w:p>
        </w:tc>
        <w:tc>
          <w:tcPr>
            <w:tcW w:w="2357"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b/>
              </w:rPr>
              <w:t>Eskom-</w:t>
            </w:r>
            <w:r>
              <w:rPr>
                <w:rFonts w:ascii="Arial Narrow" w:hAnsi="Arial Narrow"/>
              </w:rPr>
              <w:t xml:space="preserve"> The appeal follows the judgement of the Pretoria High Court to substitute the decision of the Energy Regulator on the Eskom MYPD4 Year 3. This case has already had three judgements (review judgement, leave to appeal judgement and implementation of review judgement pending appeal judgement)</w:t>
            </w:r>
          </w:p>
        </w:tc>
        <w:tc>
          <w:tcPr>
            <w:tcW w:w="2007"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rPr>
              <w:t>R7 400 000.00</w:t>
            </w:r>
          </w:p>
        </w:tc>
        <w:tc>
          <w:tcPr>
            <w:tcW w:w="1776"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rPr>
              <w:t>Only lawyers in the practising roll can appear in court. Despite NERSA legal advisors are all admitted attorneys/advocates, they cannot appear in court.</w:t>
            </w:r>
          </w:p>
        </w:tc>
      </w:tr>
      <w:tr w:rsidR="00B02B19" w:rsidTr="00B02B19">
        <w:tc>
          <w:tcPr>
            <w:tcW w:w="562"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rPr>
              <w:t>5.</w:t>
            </w:r>
          </w:p>
        </w:tc>
        <w:tc>
          <w:tcPr>
            <w:tcW w:w="2314"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rPr>
              <w:t>Judicial review</w:t>
            </w:r>
          </w:p>
        </w:tc>
        <w:tc>
          <w:tcPr>
            <w:tcW w:w="2357"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b/>
              </w:rPr>
              <w:t>Sunrise-</w:t>
            </w:r>
            <w:r>
              <w:rPr>
                <w:rFonts w:ascii="Arial Narrow" w:hAnsi="Arial Narrow"/>
              </w:rPr>
              <w:t xml:space="preserve"> the matter arises from the judicial review brought by Sunrise against what they call improper </w:t>
            </w:r>
            <w:r>
              <w:rPr>
                <w:rFonts w:ascii="Arial Narrow" w:hAnsi="Arial Narrow"/>
              </w:rPr>
              <w:lastRenderedPageBreak/>
              <w:t xml:space="preserve">formulation and reading of the Petroleum Pipelines Operating licence issued by NERSA to </w:t>
            </w:r>
            <w:proofErr w:type="spellStart"/>
            <w:r>
              <w:rPr>
                <w:rFonts w:ascii="Arial Narrow" w:hAnsi="Arial Narrow"/>
              </w:rPr>
              <w:t>Avedia</w:t>
            </w:r>
            <w:proofErr w:type="spellEnd"/>
          </w:p>
        </w:tc>
        <w:tc>
          <w:tcPr>
            <w:tcW w:w="2007"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rPr>
              <w:lastRenderedPageBreak/>
              <w:t>R2 200 000.00</w:t>
            </w:r>
          </w:p>
        </w:tc>
        <w:tc>
          <w:tcPr>
            <w:tcW w:w="1776" w:type="dxa"/>
            <w:tcBorders>
              <w:top w:val="single" w:sz="4" w:space="0" w:color="auto"/>
              <w:left w:val="single" w:sz="4" w:space="0" w:color="auto"/>
              <w:bottom w:val="single" w:sz="4" w:space="0" w:color="auto"/>
              <w:right w:val="single" w:sz="4" w:space="0" w:color="auto"/>
            </w:tcBorders>
            <w:hideMark/>
          </w:tcPr>
          <w:p w:rsidR="00B02B19" w:rsidRDefault="00B02B19">
            <w:pPr>
              <w:pStyle w:val="Default"/>
              <w:spacing w:line="360" w:lineRule="auto"/>
              <w:jc w:val="both"/>
              <w:rPr>
                <w:rFonts w:ascii="Arial Narrow" w:hAnsi="Arial Narrow"/>
              </w:rPr>
            </w:pPr>
            <w:r>
              <w:rPr>
                <w:rFonts w:ascii="Arial Narrow" w:hAnsi="Arial Narrow"/>
              </w:rPr>
              <w:t xml:space="preserve">Only lawyers in the practising roll can appear in court. Despite NERSA legal advisors are all </w:t>
            </w:r>
            <w:r>
              <w:rPr>
                <w:rFonts w:ascii="Arial Narrow" w:hAnsi="Arial Narrow"/>
              </w:rPr>
              <w:lastRenderedPageBreak/>
              <w:t>admitted attorneys/advocates, they cannot appear in court.</w:t>
            </w:r>
          </w:p>
        </w:tc>
      </w:tr>
    </w:tbl>
    <w:p w:rsidR="00B02B19" w:rsidRDefault="00B02B19" w:rsidP="00B02B19">
      <w:pPr>
        <w:pStyle w:val="Default"/>
        <w:spacing w:line="360" w:lineRule="auto"/>
        <w:jc w:val="both"/>
        <w:rPr>
          <w:rFonts w:ascii="Arial Narrow" w:hAnsi="Arial Narrow"/>
          <w:b/>
        </w:rPr>
      </w:pPr>
    </w:p>
    <w:p w:rsidR="00671CB7" w:rsidRDefault="00671CB7" w:rsidP="00E82F17">
      <w:pPr>
        <w:pStyle w:val="Default"/>
        <w:spacing w:line="360" w:lineRule="auto"/>
        <w:jc w:val="both"/>
        <w:rPr>
          <w:rFonts w:ascii="Arial Narrow" w:hAnsi="Arial Narrow"/>
          <w:b/>
        </w:rPr>
      </w:pPr>
    </w:p>
    <w:p w:rsidR="00B02B19" w:rsidRDefault="00671CB7" w:rsidP="00E82F17">
      <w:pPr>
        <w:pStyle w:val="Default"/>
        <w:spacing w:line="360" w:lineRule="auto"/>
        <w:jc w:val="both"/>
        <w:rPr>
          <w:rFonts w:ascii="Arial Narrow" w:hAnsi="Arial Narrow"/>
          <w:b/>
        </w:rPr>
      </w:pPr>
      <w:r>
        <w:rPr>
          <w:rFonts w:ascii="Arial Narrow" w:hAnsi="Arial Narrow"/>
          <w:b/>
        </w:rPr>
        <w:t>MINE, HEALTH AND SAFERY COUNCIL (MHSC)</w:t>
      </w:r>
    </w:p>
    <w:p w:rsidR="00671CB7" w:rsidRDefault="00671CB7" w:rsidP="00E82F17">
      <w:pPr>
        <w:pStyle w:val="Default"/>
        <w:spacing w:line="360" w:lineRule="auto"/>
        <w:jc w:val="both"/>
        <w:rPr>
          <w:rFonts w:ascii="Arial Narrow" w:hAnsi="Arial Narrow"/>
          <w:b/>
        </w:rPr>
      </w:pPr>
    </w:p>
    <w:tbl>
      <w:tblPr>
        <w:tblStyle w:val="TableGrid"/>
        <w:tblW w:w="9918" w:type="dxa"/>
        <w:tblLook w:val="04A0"/>
      </w:tblPr>
      <w:tblGrid>
        <w:gridCol w:w="4046"/>
        <w:gridCol w:w="2342"/>
        <w:gridCol w:w="3530"/>
      </w:tblGrid>
      <w:tr w:rsidR="00671CB7" w:rsidRPr="00D40800" w:rsidTr="00671CB7">
        <w:tc>
          <w:tcPr>
            <w:tcW w:w="4046" w:type="dxa"/>
          </w:tcPr>
          <w:p w:rsidR="00671CB7" w:rsidRPr="00D40800" w:rsidRDefault="00671CB7" w:rsidP="000E441E">
            <w:pPr>
              <w:pStyle w:val="Default"/>
              <w:spacing w:line="360" w:lineRule="auto"/>
              <w:jc w:val="both"/>
              <w:rPr>
                <w:rFonts w:ascii="Arial Narrow" w:hAnsi="Arial Narrow"/>
                <w:b/>
                <w:bCs/>
              </w:rPr>
            </w:pPr>
            <w:r w:rsidRPr="00D40800">
              <w:rPr>
                <w:rFonts w:ascii="Arial Narrow" w:hAnsi="Arial Narrow"/>
                <w:b/>
                <w:bCs/>
              </w:rPr>
              <w:t>what (a) is the (</w:t>
            </w:r>
            <w:proofErr w:type="spellStart"/>
            <w:r w:rsidRPr="00D40800">
              <w:rPr>
                <w:rFonts w:ascii="Arial Narrow" w:hAnsi="Arial Narrow"/>
                <w:b/>
                <w:bCs/>
              </w:rPr>
              <w:t>i</w:t>
            </w:r>
            <w:proofErr w:type="spellEnd"/>
            <w:r w:rsidRPr="00D40800">
              <w:rPr>
                <w:rFonts w:ascii="Arial Narrow" w:hAnsi="Arial Narrow"/>
                <w:b/>
                <w:bCs/>
              </w:rPr>
              <w:t>) breakdown of all legal matters against the various entities of his department</w:t>
            </w:r>
          </w:p>
        </w:tc>
        <w:tc>
          <w:tcPr>
            <w:tcW w:w="2342" w:type="dxa"/>
          </w:tcPr>
          <w:p w:rsidR="00671CB7" w:rsidRPr="00D40800" w:rsidRDefault="00671CB7" w:rsidP="000E441E">
            <w:pPr>
              <w:pStyle w:val="Default"/>
              <w:spacing w:line="360" w:lineRule="auto"/>
              <w:jc w:val="both"/>
              <w:rPr>
                <w:rFonts w:ascii="Arial Narrow" w:hAnsi="Arial Narrow"/>
                <w:b/>
                <w:bCs/>
              </w:rPr>
            </w:pPr>
            <w:r w:rsidRPr="00D40800">
              <w:rPr>
                <w:rFonts w:ascii="Arial Narrow" w:hAnsi="Arial Narrow"/>
                <w:b/>
                <w:bCs/>
              </w:rPr>
              <w:t>(a)(ii) cost to the taxpayer in each case</w:t>
            </w:r>
          </w:p>
        </w:tc>
        <w:tc>
          <w:tcPr>
            <w:tcW w:w="3530" w:type="dxa"/>
          </w:tcPr>
          <w:p w:rsidR="00671CB7" w:rsidRPr="00D40800" w:rsidRDefault="00671CB7" w:rsidP="000E441E">
            <w:pPr>
              <w:pStyle w:val="Default"/>
              <w:spacing w:line="360" w:lineRule="auto"/>
              <w:jc w:val="both"/>
              <w:rPr>
                <w:rFonts w:ascii="Arial Narrow" w:hAnsi="Arial Narrow"/>
                <w:b/>
                <w:bCs/>
              </w:rPr>
            </w:pPr>
            <w:r w:rsidRPr="00D40800">
              <w:rPr>
                <w:rFonts w:ascii="Arial Narrow" w:hAnsi="Arial Narrow"/>
                <w:b/>
                <w:bCs/>
              </w:rPr>
              <w:t>(b) are the reasons that his department has not, to date, used its own internal processes against those individuals who offset the specified cases, such that they are personally liable for the specified legal costs</w:t>
            </w:r>
          </w:p>
        </w:tc>
      </w:tr>
      <w:tr w:rsidR="00671CB7" w:rsidRPr="00671CB7" w:rsidTr="00671CB7">
        <w:trPr>
          <w:trHeight w:val="660"/>
        </w:trPr>
        <w:tc>
          <w:tcPr>
            <w:tcW w:w="4046" w:type="dxa"/>
            <w:noWrap/>
            <w:hideMark/>
          </w:tcPr>
          <w:p w:rsidR="00671CB7" w:rsidRPr="00671CB7" w:rsidRDefault="00671CB7" w:rsidP="00671CB7">
            <w:pPr>
              <w:spacing w:line="240" w:lineRule="auto"/>
              <w:jc w:val="both"/>
              <w:rPr>
                <w:rFonts w:ascii="Arial Narrow" w:eastAsia="Times New Roman" w:hAnsi="Arial Narrow" w:cs="Times New Roman"/>
                <w:color w:val="000000"/>
                <w:sz w:val="24"/>
                <w:szCs w:val="24"/>
                <w:lang w:val="en-ZA" w:eastAsia="en-ZA"/>
              </w:rPr>
            </w:pPr>
            <w:r w:rsidRPr="00671CB7">
              <w:rPr>
                <w:rFonts w:ascii="Arial Narrow" w:eastAsia="Times New Roman" w:hAnsi="Arial Narrow" w:cs="Times New Roman"/>
                <w:color w:val="000000"/>
                <w:sz w:val="24"/>
                <w:szCs w:val="24"/>
                <w:lang w:val="en-ZA" w:eastAsia="en-ZA"/>
              </w:rPr>
              <w:t>Investigation into allegations of financial misconduct</w:t>
            </w:r>
          </w:p>
        </w:tc>
        <w:tc>
          <w:tcPr>
            <w:tcW w:w="2342" w:type="dxa"/>
            <w:noWrap/>
            <w:hideMark/>
          </w:tcPr>
          <w:p w:rsidR="00671CB7" w:rsidRPr="00671CB7" w:rsidRDefault="00671CB7" w:rsidP="00671CB7">
            <w:pPr>
              <w:spacing w:line="240" w:lineRule="auto"/>
              <w:jc w:val="both"/>
              <w:rPr>
                <w:rFonts w:ascii="Arial Narrow" w:eastAsia="Times New Roman" w:hAnsi="Arial Narrow" w:cs="Times New Roman"/>
                <w:color w:val="000000"/>
                <w:sz w:val="24"/>
                <w:szCs w:val="24"/>
                <w:lang w:val="en-ZA" w:eastAsia="en-ZA"/>
              </w:rPr>
            </w:pPr>
            <w:r w:rsidRPr="00671CB7">
              <w:rPr>
                <w:rFonts w:ascii="Arial Narrow" w:eastAsia="Times New Roman" w:hAnsi="Arial Narrow" w:cs="Times New Roman"/>
                <w:color w:val="000000"/>
                <w:sz w:val="24"/>
                <w:szCs w:val="24"/>
                <w:lang w:val="en-ZA" w:eastAsia="en-ZA"/>
              </w:rPr>
              <w:t xml:space="preserve">1 006 475,00 </w:t>
            </w:r>
          </w:p>
        </w:tc>
        <w:tc>
          <w:tcPr>
            <w:tcW w:w="3530" w:type="dxa"/>
            <w:hideMark/>
          </w:tcPr>
          <w:p w:rsidR="00671CB7" w:rsidRPr="00671CB7" w:rsidRDefault="00671CB7" w:rsidP="00671CB7">
            <w:pPr>
              <w:spacing w:line="240" w:lineRule="auto"/>
              <w:jc w:val="both"/>
              <w:rPr>
                <w:rFonts w:ascii="Arial Narrow" w:eastAsia="Times New Roman" w:hAnsi="Arial Narrow" w:cs="Times New Roman"/>
                <w:color w:val="000000"/>
                <w:sz w:val="24"/>
                <w:szCs w:val="24"/>
                <w:lang w:val="en-ZA" w:eastAsia="en-ZA"/>
              </w:rPr>
            </w:pPr>
            <w:r w:rsidRPr="00671CB7">
              <w:rPr>
                <w:rFonts w:ascii="Arial Narrow" w:eastAsia="Times New Roman" w:hAnsi="Arial Narrow" w:cs="Times New Roman"/>
                <w:color w:val="000000"/>
                <w:sz w:val="24"/>
                <w:szCs w:val="24"/>
                <w:lang w:val="en-ZA" w:eastAsia="en-ZA"/>
              </w:rPr>
              <w:t>The matter is not finalised</w:t>
            </w:r>
          </w:p>
        </w:tc>
      </w:tr>
      <w:tr w:rsidR="00671CB7" w:rsidRPr="00671CB7" w:rsidTr="00671CB7">
        <w:trPr>
          <w:trHeight w:val="690"/>
        </w:trPr>
        <w:tc>
          <w:tcPr>
            <w:tcW w:w="4046" w:type="dxa"/>
            <w:hideMark/>
          </w:tcPr>
          <w:p w:rsidR="00671CB7" w:rsidRPr="00671CB7" w:rsidRDefault="00671CB7" w:rsidP="00671CB7">
            <w:pPr>
              <w:spacing w:line="240" w:lineRule="auto"/>
              <w:jc w:val="both"/>
              <w:rPr>
                <w:rFonts w:ascii="Arial Narrow" w:eastAsia="Times New Roman" w:hAnsi="Arial Narrow" w:cs="Times New Roman"/>
                <w:color w:val="000000"/>
                <w:sz w:val="24"/>
                <w:szCs w:val="24"/>
                <w:lang w:val="en-ZA" w:eastAsia="en-ZA"/>
              </w:rPr>
            </w:pPr>
            <w:r w:rsidRPr="00671CB7">
              <w:rPr>
                <w:rFonts w:ascii="Arial Narrow" w:eastAsia="Times New Roman" w:hAnsi="Arial Narrow" w:cs="Times New Roman"/>
                <w:color w:val="000000"/>
                <w:sz w:val="24"/>
                <w:szCs w:val="24"/>
                <w:lang w:val="en-ZA" w:eastAsia="en-ZA"/>
              </w:rPr>
              <w:t>Dispute at the Labour Court between employer an employee</w:t>
            </w:r>
          </w:p>
        </w:tc>
        <w:tc>
          <w:tcPr>
            <w:tcW w:w="2342" w:type="dxa"/>
            <w:noWrap/>
            <w:hideMark/>
          </w:tcPr>
          <w:p w:rsidR="00671CB7" w:rsidRPr="00671CB7" w:rsidRDefault="00671CB7" w:rsidP="00671CB7">
            <w:pPr>
              <w:spacing w:line="240" w:lineRule="auto"/>
              <w:jc w:val="both"/>
              <w:rPr>
                <w:rFonts w:ascii="Arial Narrow" w:eastAsia="Times New Roman" w:hAnsi="Arial Narrow" w:cs="Times New Roman"/>
                <w:color w:val="000000"/>
                <w:sz w:val="24"/>
                <w:szCs w:val="24"/>
                <w:lang w:val="en-ZA" w:eastAsia="en-ZA"/>
              </w:rPr>
            </w:pPr>
            <w:r w:rsidRPr="00671CB7">
              <w:rPr>
                <w:rFonts w:ascii="Arial Narrow" w:eastAsia="Times New Roman" w:hAnsi="Arial Narrow" w:cs="Times New Roman"/>
                <w:color w:val="000000"/>
                <w:sz w:val="24"/>
                <w:szCs w:val="24"/>
                <w:lang w:val="en-ZA" w:eastAsia="en-ZA"/>
              </w:rPr>
              <w:t xml:space="preserve"> 233 770,00 </w:t>
            </w:r>
          </w:p>
        </w:tc>
        <w:tc>
          <w:tcPr>
            <w:tcW w:w="3530" w:type="dxa"/>
            <w:hideMark/>
          </w:tcPr>
          <w:p w:rsidR="00671CB7" w:rsidRPr="00671CB7" w:rsidRDefault="00671CB7" w:rsidP="00671CB7">
            <w:pPr>
              <w:spacing w:line="240" w:lineRule="auto"/>
              <w:jc w:val="both"/>
              <w:rPr>
                <w:rFonts w:ascii="Arial Narrow" w:eastAsia="Times New Roman" w:hAnsi="Arial Narrow" w:cs="Times New Roman"/>
                <w:color w:val="000000"/>
                <w:sz w:val="24"/>
                <w:szCs w:val="24"/>
                <w:lang w:val="en-ZA" w:eastAsia="en-ZA"/>
              </w:rPr>
            </w:pPr>
            <w:r w:rsidRPr="00671CB7">
              <w:rPr>
                <w:rFonts w:ascii="Arial Narrow" w:eastAsia="Times New Roman" w:hAnsi="Arial Narrow" w:cs="Times New Roman"/>
                <w:color w:val="000000"/>
                <w:sz w:val="24"/>
                <w:szCs w:val="24"/>
                <w:lang w:val="en-ZA" w:eastAsia="en-ZA"/>
              </w:rPr>
              <w:t>Recovery if any will be based on outcome of the labour court</w:t>
            </w:r>
          </w:p>
        </w:tc>
      </w:tr>
      <w:tr w:rsidR="00671CB7" w:rsidRPr="00671CB7" w:rsidTr="00671CB7">
        <w:trPr>
          <w:trHeight w:val="870"/>
        </w:trPr>
        <w:tc>
          <w:tcPr>
            <w:tcW w:w="4046" w:type="dxa"/>
            <w:hideMark/>
          </w:tcPr>
          <w:p w:rsidR="00671CB7" w:rsidRPr="00671CB7" w:rsidRDefault="00671CB7" w:rsidP="00671CB7">
            <w:pPr>
              <w:spacing w:line="240" w:lineRule="auto"/>
              <w:jc w:val="both"/>
              <w:rPr>
                <w:rFonts w:ascii="Arial Narrow" w:eastAsia="Times New Roman" w:hAnsi="Arial Narrow" w:cs="Times New Roman"/>
                <w:color w:val="000000"/>
                <w:sz w:val="24"/>
                <w:szCs w:val="24"/>
                <w:lang w:val="en-ZA" w:eastAsia="en-ZA"/>
              </w:rPr>
            </w:pPr>
            <w:r w:rsidRPr="00671CB7">
              <w:rPr>
                <w:rFonts w:ascii="Arial Narrow" w:eastAsia="Times New Roman" w:hAnsi="Arial Narrow" w:cs="Times New Roman"/>
                <w:color w:val="000000"/>
                <w:sz w:val="24"/>
                <w:szCs w:val="24"/>
                <w:lang w:val="en-ZA" w:eastAsia="en-ZA"/>
              </w:rPr>
              <w:t>Challenging the recruitment process of the HR head at the Labour Court</w:t>
            </w:r>
          </w:p>
        </w:tc>
        <w:tc>
          <w:tcPr>
            <w:tcW w:w="2342" w:type="dxa"/>
            <w:noWrap/>
            <w:hideMark/>
          </w:tcPr>
          <w:p w:rsidR="00671CB7" w:rsidRPr="00671CB7" w:rsidRDefault="00671CB7" w:rsidP="00671CB7">
            <w:pPr>
              <w:spacing w:line="240" w:lineRule="auto"/>
              <w:jc w:val="both"/>
              <w:rPr>
                <w:rFonts w:ascii="Arial Narrow" w:eastAsia="Times New Roman" w:hAnsi="Arial Narrow" w:cs="Times New Roman"/>
                <w:color w:val="000000"/>
                <w:sz w:val="24"/>
                <w:szCs w:val="24"/>
                <w:lang w:val="en-ZA" w:eastAsia="en-ZA"/>
              </w:rPr>
            </w:pPr>
            <w:r w:rsidRPr="00671CB7">
              <w:rPr>
                <w:rFonts w:ascii="Arial Narrow" w:eastAsia="Times New Roman" w:hAnsi="Arial Narrow" w:cs="Times New Roman"/>
                <w:color w:val="000000"/>
                <w:sz w:val="24"/>
                <w:szCs w:val="24"/>
                <w:lang w:val="en-ZA" w:eastAsia="en-ZA"/>
              </w:rPr>
              <w:t xml:space="preserve"> 45 007,55 </w:t>
            </w:r>
          </w:p>
        </w:tc>
        <w:tc>
          <w:tcPr>
            <w:tcW w:w="3530" w:type="dxa"/>
            <w:hideMark/>
          </w:tcPr>
          <w:p w:rsidR="00671CB7" w:rsidRPr="00671CB7" w:rsidRDefault="00671CB7" w:rsidP="00671CB7">
            <w:pPr>
              <w:spacing w:line="240" w:lineRule="auto"/>
              <w:jc w:val="both"/>
              <w:rPr>
                <w:rFonts w:ascii="Arial Narrow" w:eastAsia="Times New Roman" w:hAnsi="Arial Narrow" w:cs="Times New Roman"/>
                <w:color w:val="000000"/>
                <w:sz w:val="24"/>
                <w:szCs w:val="24"/>
                <w:lang w:val="en-ZA" w:eastAsia="en-ZA"/>
              </w:rPr>
            </w:pPr>
            <w:r w:rsidRPr="00671CB7">
              <w:rPr>
                <w:rFonts w:ascii="Arial Narrow" w:eastAsia="Times New Roman" w:hAnsi="Arial Narrow" w:cs="Times New Roman"/>
                <w:color w:val="000000"/>
                <w:sz w:val="24"/>
                <w:szCs w:val="24"/>
                <w:lang w:val="en-ZA" w:eastAsia="en-ZA"/>
              </w:rPr>
              <w:t>Recovery if any will be based on outcome of the labour court</w:t>
            </w:r>
          </w:p>
        </w:tc>
      </w:tr>
      <w:tr w:rsidR="00671CB7" w:rsidRPr="00671CB7" w:rsidTr="00671CB7">
        <w:trPr>
          <w:trHeight w:val="900"/>
        </w:trPr>
        <w:tc>
          <w:tcPr>
            <w:tcW w:w="4046" w:type="dxa"/>
            <w:hideMark/>
          </w:tcPr>
          <w:p w:rsidR="00671CB7" w:rsidRPr="00671CB7" w:rsidRDefault="00671CB7" w:rsidP="00671CB7">
            <w:pPr>
              <w:spacing w:line="240" w:lineRule="auto"/>
              <w:jc w:val="both"/>
              <w:rPr>
                <w:rFonts w:ascii="Arial Narrow" w:eastAsia="Times New Roman" w:hAnsi="Arial Narrow" w:cs="Times New Roman"/>
                <w:color w:val="000000"/>
                <w:sz w:val="24"/>
                <w:szCs w:val="24"/>
                <w:lang w:val="en-ZA" w:eastAsia="en-ZA"/>
              </w:rPr>
            </w:pPr>
            <w:r w:rsidRPr="00671CB7">
              <w:rPr>
                <w:rFonts w:ascii="Arial Narrow" w:eastAsia="Times New Roman" w:hAnsi="Arial Narrow" w:cs="Times New Roman"/>
                <w:color w:val="000000"/>
                <w:sz w:val="24"/>
                <w:szCs w:val="24"/>
                <w:lang w:val="en-ZA" w:eastAsia="en-ZA"/>
              </w:rPr>
              <w:t>Termination of the Contract and recovery due to non performance</w:t>
            </w:r>
          </w:p>
        </w:tc>
        <w:tc>
          <w:tcPr>
            <w:tcW w:w="2342" w:type="dxa"/>
            <w:noWrap/>
            <w:hideMark/>
          </w:tcPr>
          <w:p w:rsidR="00671CB7" w:rsidRPr="00671CB7" w:rsidRDefault="00671CB7" w:rsidP="00671CB7">
            <w:pPr>
              <w:spacing w:line="240" w:lineRule="auto"/>
              <w:jc w:val="both"/>
              <w:rPr>
                <w:rFonts w:ascii="Arial Narrow" w:eastAsia="Times New Roman" w:hAnsi="Arial Narrow" w:cs="Times New Roman"/>
                <w:color w:val="000000"/>
                <w:sz w:val="24"/>
                <w:szCs w:val="24"/>
                <w:lang w:val="en-ZA" w:eastAsia="en-ZA"/>
              </w:rPr>
            </w:pPr>
            <w:r w:rsidRPr="00671CB7">
              <w:rPr>
                <w:rFonts w:ascii="Arial Narrow" w:eastAsia="Times New Roman" w:hAnsi="Arial Narrow" w:cs="Times New Roman"/>
                <w:color w:val="000000"/>
                <w:sz w:val="24"/>
                <w:szCs w:val="24"/>
                <w:lang w:val="en-ZA" w:eastAsia="en-ZA"/>
              </w:rPr>
              <w:t xml:space="preserve"> 456 046,00 </w:t>
            </w:r>
          </w:p>
        </w:tc>
        <w:tc>
          <w:tcPr>
            <w:tcW w:w="3530" w:type="dxa"/>
            <w:hideMark/>
          </w:tcPr>
          <w:p w:rsidR="00671CB7" w:rsidRPr="00671CB7" w:rsidRDefault="00671CB7" w:rsidP="00671CB7">
            <w:pPr>
              <w:spacing w:line="240" w:lineRule="auto"/>
              <w:jc w:val="both"/>
              <w:rPr>
                <w:rFonts w:ascii="Arial Narrow" w:eastAsia="Times New Roman" w:hAnsi="Arial Narrow" w:cs="Times New Roman"/>
                <w:color w:val="000000"/>
                <w:sz w:val="24"/>
                <w:szCs w:val="24"/>
                <w:lang w:val="en-ZA" w:eastAsia="en-ZA"/>
              </w:rPr>
            </w:pPr>
            <w:r w:rsidRPr="00671CB7">
              <w:rPr>
                <w:rFonts w:ascii="Arial Narrow" w:eastAsia="Times New Roman" w:hAnsi="Arial Narrow" w:cs="Times New Roman"/>
                <w:color w:val="000000"/>
                <w:sz w:val="24"/>
                <w:szCs w:val="24"/>
                <w:lang w:val="en-ZA" w:eastAsia="en-ZA"/>
              </w:rPr>
              <w:t>The matter is not finalised</w:t>
            </w:r>
          </w:p>
        </w:tc>
      </w:tr>
      <w:tr w:rsidR="00671CB7" w:rsidRPr="00671CB7" w:rsidTr="00671CB7">
        <w:trPr>
          <w:trHeight w:val="882"/>
        </w:trPr>
        <w:tc>
          <w:tcPr>
            <w:tcW w:w="4046" w:type="dxa"/>
            <w:hideMark/>
          </w:tcPr>
          <w:p w:rsidR="00671CB7" w:rsidRPr="00671CB7" w:rsidRDefault="00671CB7" w:rsidP="00671CB7">
            <w:pPr>
              <w:spacing w:line="240" w:lineRule="auto"/>
              <w:jc w:val="both"/>
              <w:rPr>
                <w:rFonts w:ascii="Arial Narrow" w:eastAsia="Times New Roman" w:hAnsi="Arial Narrow" w:cs="Times New Roman"/>
                <w:color w:val="000000"/>
                <w:sz w:val="24"/>
                <w:szCs w:val="24"/>
                <w:lang w:val="en-ZA" w:eastAsia="en-ZA"/>
              </w:rPr>
            </w:pPr>
            <w:r w:rsidRPr="00671CB7">
              <w:rPr>
                <w:rFonts w:ascii="Arial Narrow" w:eastAsia="Times New Roman" w:hAnsi="Arial Narrow" w:cs="Times New Roman"/>
                <w:color w:val="000000"/>
                <w:sz w:val="24"/>
                <w:szCs w:val="24"/>
                <w:lang w:val="en-ZA" w:eastAsia="en-ZA"/>
              </w:rPr>
              <w:t>Dispute at the Labour Court between employer an employee</w:t>
            </w:r>
          </w:p>
        </w:tc>
        <w:tc>
          <w:tcPr>
            <w:tcW w:w="2342" w:type="dxa"/>
            <w:noWrap/>
            <w:hideMark/>
          </w:tcPr>
          <w:p w:rsidR="00671CB7" w:rsidRPr="00671CB7" w:rsidRDefault="00671CB7" w:rsidP="00671CB7">
            <w:pPr>
              <w:spacing w:line="240" w:lineRule="auto"/>
              <w:jc w:val="both"/>
              <w:rPr>
                <w:rFonts w:ascii="Arial Narrow" w:eastAsia="Times New Roman" w:hAnsi="Arial Narrow" w:cs="Times New Roman"/>
                <w:color w:val="000000"/>
                <w:sz w:val="24"/>
                <w:szCs w:val="24"/>
                <w:lang w:val="en-ZA" w:eastAsia="en-ZA"/>
              </w:rPr>
            </w:pPr>
            <w:r w:rsidRPr="00671CB7">
              <w:rPr>
                <w:rFonts w:ascii="Arial Narrow" w:eastAsia="Times New Roman" w:hAnsi="Arial Narrow" w:cs="Times New Roman"/>
                <w:color w:val="000000"/>
                <w:sz w:val="24"/>
                <w:szCs w:val="24"/>
                <w:lang w:val="en-ZA" w:eastAsia="en-ZA"/>
              </w:rPr>
              <w:t xml:space="preserve"> 301 357,44 </w:t>
            </w:r>
          </w:p>
        </w:tc>
        <w:tc>
          <w:tcPr>
            <w:tcW w:w="3530" w:type="dxa"/>
            <w:hideMark/>
          </w:tcPr>
          <w:p w:rsidR="00671CB7" w:rsidRPr="00671CB7" w:rsidRDefault="00671CB7" w:rsidP="00671CB7">
            <w:pPr>
              <w:spacing w:line="240" w:lineRule="auto"/>
              <w:jc w:val="both"/>
              <w:rPr>
                <w:rFonts w:ascii="Arial Narrow" w:eastAsia="Times New Roman" w:hAnsi="Arial Narrow" w:cs="Times New Roman"/>
                <w:color w:val="000000"/>
                <w:sz w:val="24"/>
                <w:szCs w:val="24"/>
                <w:lang w:val="en-ZA" w:eastAsia="en-ZA"/>
              </w:rPr>
            </w:pPr>
            <w:r w:rsidRPr="00671CB7">
              <w:rPr>
                <w:rFonts w:ascii="Arial Narrow" w:eastAsia="Times New Roman" w:hAnsi="Arial Narrow" w:cs="Times New Roman"/>
                <w:color w:val="000000"/>
                <w:sz w:val="24"/>
                <w:szCs w:val="24"/>
                <w:lang w:val="en-ZA" w:eastAsia="en-ZA"/>
              </w:rPr>
              <w:t>Recovery if any will be based on outcome of the labour court</w:t>
            </w:r>
          </w:p>
        </w:tc>
      </w:tr>
      <w:tr w:rsidR="00671CB7" w:rsidRPr="00671CB7" w:rsidTr="00671CB7">
        <w:trPr>
          <w:trHeight w:val="600"/>
        </w:trPr>
        <w:tc>
          <w:tcPr>
            <w:tcW w:w="4046" w:type="dxa"/>
            <w:hideMark/>
          </w:tcPr>
          <w:p w:rsidR="00671CB7" w:rsidRPr="00671CB7" w:rsidRDefault="00671CB7" w:rsidP="00671CB7">
            <w:pPr>
              <w:spacing w:line="240" w:lineRule="auto"/>
              <w:jc w:val="both"/>
              <w:rPr>
                <w:rFonts w:ascii="Arial Narrow" w:eastAsia="Times New Roman" w:hAnsi="Arial Narrow" w:cs="Times New Roman"/>
                <w:color w:val="000000"/>
                <w:sz w:val="24"/>
                <w:szCs w:val="24"/>
                <w:lang w:val="en-ZA" w:eastAsia="en-ZA"/>
              </w:rPr>
            </w:pPr>
            <w:r w:rsidRPr="00671CB7">
              <w:rPr>
                <w:rFonts w:ascii="Arial Narrow" w:eastAsia="Times New Roman" w:hAnsi="Arial Narrow" w:cs="Times New Roman"/>
                <w:color w:val="000000"/>
                <w:sz w:val="24"/>
                <w:szCs w:val="24"/>
                <w:lang w:val="en-ZA" w:eastAsia="en-ZA"/>
              </w:rPr>
              <w:t>Dispute at the Labour Court between employer an employee</w:t>
            </w:r>
          </w:p>
        </w:tc>
        <w:tc>
          <w:tcPr>
            <w:tcW w:w="2342" w:type="dxa"/>
            <w:noWrap/>
            <w:hideMark/>
          </w:tcPr>
          <w:p w:rsidR="00671CB7" w:rsidRPr="00671CB7" w:rsidRDefault="00671CB7" w:rsidP="00671CB7">
            <w:pPr>
              <w:spacing w:line="240" w:lineRule="auto"/>
              <w:jc w:val="both"/>
              <w:rPr>
                <w:rFonts w:ascii="Arial Narrow" w:eastAsia="Times New Roman" w:hAnsi="Arial Narrow" w:cs="Times New Roman"/>
                <w:color w:val="000000"/>
                <w:sz w:val="24"/>
                <w:szCs w:val="24"/>
                <w:lang w:val="en-ZA" w:eastAsia="en-ZA"/>
              </w:rPr>
            </w:pPr>
            <w:r w:rsidRPr="00671CB7">
              <w:rPr>
                <w:rFonts w:ascii="Arial Narrow" w:eastAsia="Times New Roman" w:hAnsi="Arial Narrow" w:cs="Times New Roman"/>
                <w:color w:val="000000"/>
                <w:sz w:val="24"/>
                <w:szCs w:val="24"/>
                <w:lang w:val="en-ZA" w:eastAsia="en-ZA"/>
              </w:rPr>
              <w:t xml:space="preserve"> 86 766,63 </w:t>
            </w:r>
          </w:p>
        </w:tc>
        <w:tc>
          <w:tcPr>
            <w:tcW w:w="3530" w:type="dxa"/>
            <w:hideMark/>
          </w:tcPr>
          <w:p w:rsidR="00671CB7" w:rsidRPr="00671CB7" w:rsidRDefault="00671CB7" w:rsidP="00671CB7">
            <w:pPr>
              <w:spacing w:line="240" w:lineRule="auto"/>
              <w:jc w:val="both"/>
              <w:rPr>
                <w:rFonts w:ascii="Arial Narrow" w:eastAsia="Times New Roman" w:hAnsi="Arial Narrow" w:cs="Times New Roman"/>
                <w:color w:val="000000"/>
                <w:sz w:val="24"/>
                <w:szCs w:val="24"/>
                <w:lang w:val="en-ZA" w:eastAsia="en-ZA"/>
              </w:rPr>
            </w:pPr>
            <w:r w:rsidRPr="00671CB7">
              <w:rPr>
                <w:rFonts w:ascii="Arial Narrow" w:eastAsia="Times New Roman" w:hAnsi="Arial Narrow" w:cs="Times New Roman"/>
                <w:color w:val="000000"/>
                <w:sz w:val="24"/>
                <w:szCs w:val="24"/>
                <w:lang w:val="en-ZA" w:eastAsia="en-ZA"/>
              </w:rPr>
              <w:t>Settlement paid by MHSC</w:t>
            </w:r>
          </w:p>
        </w:tc>
      </w:tr>
      <w:tr w:rsidR="00671CB7" w:rsidRPr="00671CB7" w:rsidTr="00671CB7">
        <w:trPr>
          <w:trHeight w:val="852"/>
        </w:trPr>
        <w:tc>
          <w:tcPr>
            <w:tcW w:w="4046" w:type="dxa"/>
            <w:noWrap/>
            <w:hideMark/>
          </w:tcPr>
          <w:p w:rsidR="00671CB7" w:rsidRPr="00671CB7" w:rsidRDefault="00671CB7" w:rsidP="00671CB7">
            <w:pPr>
              <w:spacing w:line="240" w:lineRule="auto"/>
              <w:jc w:val="both"/>
              <w:rPr>
                <w:rFonts w:ascii="Arial Narrow" w:eastAsia="Times New Roman" w:hAnsi="Arial Narrow" w:cs="Times New Roman"/>
                <w:color w:val="000000"/>
                <w:sz w:val="24"/>
                <w:szCs w:val="24"/>
                <w:lang w:val="en-ZA" w:eastAsia="en-ZA"/>
              </w:rPr>
            </w:pPr>
            <w:r>
              <w:rPr>
                <w:rFonts w:ascii="Arial Narrow" w:eastAsia="Times New Roman" w:hAnsi="Arial Narrow" w:cs="Times New Roman"/>
                <w:color w:val="000000"/>
                <w:sz w:val="24"/>
                <w:szCs w:val="24"/>
                <w:lang w:val="en-ZA" w:eastAsia="en-ZA"/>
              </w:rPr>
              <w:t>D</w:t>
            </w:r>
            <w:r w:rsidRPr="00671CB7">
              <w:rPr>
                <w:rFonts w:ascii="Arial Narrow" w:eastAsia="Times New Roman" w:hAnsi="Arial Narrow" w:cs="Times New Roman"/>
                <w:color w:val="000000"/>
                <w:sz w:val="24"/>
                <w:szCs w:val="24"/>
                <w:lang w:val="en-ZA" w:eastAsia="en-ZA"/>
              </w:rPr>
              <w:t>ispute over employment Contract</w:t>
            </w:r>
          </w:p>
        </w:tc>
        <w:tc>
          <w:tcPr>
            <w:tcW w:w="2342" w:type="dxa"/>
            <w:noWrap/>
            <w:hideMark/>
          </w:tcPr>
          <w:p w:rsidR="00671CB7" w:rsidRPr="00671CB7" w:rsidRDefault="00671CB7" w:rsidP="00671CB7">
            <w:pPr>
              <w:spacing w:line="240" w:lineRule="auto"/>
              <w:jc w:val="both"/>
              <w:rPr>
                <w:rFonts w:ascii="Arial Narrow" w:eastAsia="Times New Roman" w:hAnsi="Arial Narrow" w:cs="Times New Roman"/>
                <w:color w:val="000000"/>
                <w:sz w:val="24"/>
                <w:szCs w:val="24"/>
                <w:lang w:val="en-ZA" w:eastAsia="en-ZA"/>
              </w:rPr>
            </w:pPr>
            <w:r w:rsidRPr="00671CB7">
              <w:rPr>
                <w:rFonts w:ascii="Arial Narrow" w:eastAsia="Times New Roman" w:hAnsi="Arial Narrow" w:cs="Times New Roman"/>
                <w:color w:val="000000"/>
                <w:sz w:val="24"/>
                <w:szCs w:val="24"/>
                <w:lang w:val="en-ZA" w:eastAsia="en-ZA"/>
              </w:rPr>
              <w:t xml:space="preserve"> 153 060,00 </w:t>
            </w:r>
          </w:p>
        </w:tc>
        <w:tc>
          <w:tcPr>
            <w:tcW w:w="3530" w:type="dxa"/>
            <w:hideMark/>
          </w:tcPr>
          <w:p w:rsidR="00671CB7" w:rsidRPr="00671CB7" w:rsidRDefault="00671CB7" w:rsidP="00671CB7">
            <w:pPr>
              <w:spacing w:line="240" w:lineRule="auto"/>
              <w:jc w:val="both"/>
              <w:rPr>
                <w:rFonts w:ascii="Arial Narrow" w:eastAsia="Times New Roman" w:hAnsi="Arial Narrow" w:cs="Times New Roman"/>
                <w:color w:val="000000"/>
                <w:sz w:val="24"/>
                <w:szCs w:val="24"/>
                <w:lang w:val="en-ZA" w:eastAsia="en-ZA"/>
              </w:rPr>
            </w:pPr>
            <w:r w:rsidRPr="00671CB7">
              <w:rPr>
                <w:rFonts w:ascii="Arial Narrow" w:eastAsia="Times New Roman" w:hAnsi="Arial Narrow" w:cs="Times New Roman"/>
                <w:color w:val="000000"/>
                <w:sz w:val="24"/>
                <w:szCs w:val="24"/>
                <w:lang w:val="en-ZA" w:eastAsia="en-ZA"/>
              </w:rPr>
              <w:t>Assessment still to be done pending the outcome of disciplinary hearing- employee on suspension</w:t>
            </w:r>
          </w:p>
        </w:tc>
      </w:tr>
    </w:tbl>
    <w:p w:rsidR="00671CB7" w:rsidRPr="00B02B19" w:rsidRDefault="00671CB7" w:rsidP="00E82F17">
      <w:pPr>
        <w:pStyle w:val="Default"/>
        <w:spacing w:line="360" w:lineRule="auto"/>
        <w:jc w:val="both"/>
        <w:rPr>
          <w:rFonts w:ascii="Arial Narrow" w:hAnsi="Arial Narrow"/>
          <w:b/>
        </w:rPr>
      </w:pPr>
    </w:p>
    <w:sectPr w:rsidR="00671CB7" w:rsidRPr="00B02B19" w:rsidSect="00B000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65C"/>
    <w:multiLevelType w:val="hybridMultilevel"/>
    <w:tmpl w:val="5C1872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8AB7DA0"/>
    <w:multiLevelType w:val="hybridMultilevel"/>
    <w:tmpl w:val="C4045DF2"/>
    <w:lvl w:ilvl="0" w:tplc="78002228">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BDE55FD"/>
    <w:multiLevelType w:val="hybridMultilevel"/>
    <w:tmpl w:val="125A703A"/>
    <w:lvl w:ilvl="0" w:tplc="24D2E238">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4AE157AC"/>
    <w:multiLevelType w:val="hybridMultilevel"/>
    <w:tmpl w:val="8CC85D0C"/>
    <w:lvl w:ilvl="0" w:tplc="2F7AC9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571D2B4D"/>
    <w:multiLevelType w:val="hybridMultilevel"/>
    <w:tmpl w:val="33443E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6080B82"/>
    <w:multiLevelType w:val="hybridMultilevel"/>
    <w:tmpl w:val="38DA548E"/>
    <w:lvl w:ilvl="0" w:tplc="2D86D08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745E7C0E"/>
    <w:multiLevelType w:val="hybridMultilevel"/>
    <w:tmpl w:val="E85A59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9934B2E"/>
    <w:multiLevelType w:val="hybridMultilevel"/>
    <w:tmpl w:val="BE3C7F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0"/>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ZA" w:vendorID="64" w:dllVersion="6" w:nlCheck="1" w:checkStyle="1"/>
  <w:activeWritingStyle w:appName="MSWord" w:lang="en-GB" w:vendorID="64" w:dllVersion="6" w:nlCheck="1" w:checkStyle="1"/>
  <w:activeWritingStyle w:appName="MSWord" w:lang="en-ZA"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ZA" w:vendorID="64" w:dllVersion="131078" w:nlCheck="1" w:checkStyle="1"/>
  <w:activeWritingStyle w:appName="MSWord" w:lang="fr-FR" w:vendorID="64" w:dllVersion="131078" w:nlCheck="1" w:checkStyle="0"/>
  <w:proofState w:spelling="clean" w:grammar="clean"/>
  <w:defaultTabStop w:val="720"/>
  <w:characterSpacingControl w:val="doNotCompress"/>
  <w:compat/>
  <w:rsids>
    <w:rsidRoot w:val="00C16ABE"/>
    <w:rsid w:val="00100E38"/>
    <w:rsid w:val="001622AB"/>
    <w:rsid w:val="00187759"/>
    <w:rsid w:val="001A5101"/>
    <w:rsid w:val="001B2819"/>
    <w:rsid w:val="001C3658"/>
    <w:rsid w:val="001D7660"/>
    <w:rsid w:val="002E45EB"/>
    <w:rsid w:val="003F483F"/>
    <w:rsid w:val="004B127D"/>
    <w:rsid w:val="0058003C"/>
    <w:rsid w:val="005D68EE"/>
    <w:rsid w:val="00671CB7"/>
    <w:rsid w:val="006E7B67"/>
    <w:rsid w:val="006F3169"/>
    <w:rsid w:val="008037C8"/>
    <w:rsid w:val="00807862"/>
    <w:rsid w:val="008E2FD1"/>
    <w:rsid w:val="00934F22"/>
    <w:rsid w:val="0096490F"/>
    <w:rsid w:val="00975064"/>
    <w:rsid w:val="009B3B94"/>
    <w:rsid w:val="00A975D6"/>
    <w:rsid w:val="00AF3556"/>
    <w:rsid w:val="00B00005"/>
    <w:rsid w:val="00B02B19"/>
    <w:rsid w:val="00BA6ED2"/>
    <w:rsid w:val="00C16ABE"/>
    <w:rsid w:val="00C604BA"/>
    <w:rsid w:val="00C80AE3"/>
    <w:rsid w:val="00D40800"/>
    <w:rsid w:val="00DA18FC"/>
    <w:rsid w:val="00DC407C"/>
    <w:rsid w:val="00E82F17"/>
    <w:rsid w:val="00EF73F0"/>
    <w:rsid w:val="00F27BA8"/>
    <w:rsid w:val="00FD73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3F"/>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F483F"/>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E7B67"/>
    <w:pPr>
      <w:ind w:left="720"/>
      <w:contextualSpacing/>
    </w:pPr>
  </w:style>
  <w:style w:type="table" w:styleId="TableGrid">
    <w:name w:val="Table Grid"/>
    <w:basedOn w:val="TableNormal"/>
    <w:uiPriority w:val="39"/>
    <w:rsid w:val="00975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62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0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4B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10014174">
      <w:bodyDiv w:val="1"/>
      <w:marLeft w:val="0"/>
      <w:marRight w:val="0"/>
      <w:marTop w:val="0"/>
      <w:marBottom w:val="0"/>
      <w:divBdr>
        <w:top w:val="none" w:sz="0" w:space="0" w:color="auto"/>
        <w:left w:val="none" w:sz="0" w:space="0" w:color="auto"/>
        <w:bottom w:val="none" w:sz="0" w:space="0" w:color="auto"/>
        <w:right w:val="none" w:sz="0" w:space="0" w:color="auto"/>
      </w:divBdr>
    </w:div>
    <w:div w:id="976255943">
      <w:bodyDiv w:val="1"/>
      <w:marLeft w:val="0"/>
      <w:marRight w:val="0"/>
      <w:marTop w:val="0"/>
      <w:marBottom w:val="0"/>
      <w:divBdr>
        <w:top w:val="none" w:sz="0" w:space="0" w:color="auto"/>
        <w:left w:val="none" w:sz="0" w:space="0" w:color="auto"/>
        <w:bottom w:val="none" w:sz="0" w:space="0" w:color="auto"/>
        <w:right w:val="none" w:sz="0" w:space="0" w:color="auto"/>
      </w:divBdr>
    </w:div>
    <w:div w:id="1597708945">
      <w:bodyDiv w:val="1"/>
      <w:marLeft w:val="0"/>
      <w:marRight w:val="0"/>
      <w:marTop w:val="0"/>
      <w:marBottom w:val="0"/>
      <w:divBdr>
        <w:top w:val="none" w:sz="0" w:space="0" w:color="auto"/>
        <w:left w:val="none" w:sz="0" w:space="0" w:color="auto"/>
        <w:bottom w:val="none" w:sz="0" w:space="0" w:color="auto"/>
        <w:right w:val="none" w:sz="0" w:space="0" w:color="auto"/>
      </w:divBdr>
    </w:div>
    <w:div w:id="171122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69161-A879-4E3B-8DE3-182BEF03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dcterms:created xsi:type="dcterms:W3CDTF">2021-03-26T09:55:00Z</dcterms:created>
  <dcterms:modified xsi:type="dcterms:W3CDTF">2021-03-26T09:55:00Z</dcterms:modified>
</cp:coreProperties>
</file>