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0D7AA8">
        <w:rPr>
          <w:b/>
          <w:bCs/>
          <w:sz w:val="24"/>
          <w:u w:val="single"/>
        </w:rPr>
        <w:t>6</w:t>
      </w:r>
      <w:r w:rsidR="00A654CA">
        <w:rPr>
          <w:b/>
          <w:bCs/>
          <w:sz w:val="24"/>
          <w:u w:val="single"/>
        </w:rPr>
        <w:t>1</w:t>
      </w:r>
      <w:r w:rsidR="00960E2D">
        <w:rPr>
          <w:b/>
          <w:bCs/>
          <w:sz w:val="24"/>
          <w:u w:val="single"/>
        </w:rPr>
        <w:t>2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B268F2">
        <w:rPr>
          <w:b/>
          <w:bCs/>
          <w:sz w:val="24"/>
          <w:u w:val="single"/>
        </w:rPr>
        <w:t>0</w:t>
      </w:r>
      <w:r w:rsidR="00412151">
        <w:rPr>
          <w:b/>
          <w:bCs/>
          <w:sz w:val="24"/>
          <w:u w:val="single"/>
        </w:rPr>
        <w:t>3 MARCH</w:t>
      </w:r>
      <w:r w:rsidR="005E20E3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</w:t>
      </w:r>
      <w:r w:rsidR="005E20E3">
        <w:rPr>
          <w:b/>
          <w:bCs/>
          <w:sz w:val="24"/>
          <w:u w:val="single"/>
        </w:rPr>
        <w:t>3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5E20E3">
        <w:rPr>
          <w:rFonts w:ascii="Arial" w:hAnsi="Arial" w:cs="Arial"/>
          <w:b/>
          <w:bCs/>
          <w:sz w:val="24"/>
          <w:u w:val="single"/>
        </w:rPr>
        <w:t>0</w:t>
      </w:r>
      <w:r w:rsidR="00412151">
        <w:rPr>
          <w:rFonts w:ascii="Arial" w:hAnsi="Arial" w:cs="Arial"/>
          <w:b/>
          <w:bCs/>
          <w:sz w:val="24"/>
          <w:u w:val="single"/>
        </w:rPr>
        <w:t>6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960E2D" w:rsidRPr="00960E2D" w:rsidRDefault="00960E2D" w:rsidP="00960E2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960E2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Mrs M O Clarke (DA) to ask the Minister of Health</w:t>
      </w:r>
      <w:r w:rsidR="00692513" w:rsidRPr="00960E2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begin"/>
      </w:r>
      <w:r w:rsidRPr="00960E2D">
        <w:rPr>
          <w:rFonts w:ascii="Arial" w:hAnsi="Arial" w:cs="Arial"/>
          <w:color w:val="000000" w:themeColor="text1"/>
          <w:u w:val="single"/>
        </w:rPr>
        <w:instrText xml:space="preserve"> XE "</w:instrText>
      </w:r>
      <w:r w:rsidRPr="00960E2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n-US" w:eastAsia="en-ZA"/>
        </w:rPr>
        <w:instrText>Minister of Health</w:instrText>
      </w:r>
      <w:r w:rsidRPr="00960E2D">
        <w:rPr>
          <w:rFonts w:ascii="Arial" w:hAnsi="Arial" w:cs="Arial"/>
          <w:color w:val="000000" w:themeColor="text1"/>
          <w:u w:val="single"/>
        </w:rPr>
        <w:instrText xml:space="preserve">" </w:instrText>
      </w:r>
      <w:r w:rsidR="00692513" w:rsidRPr="00960E2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end"/>
      </w:r>
      <w:r w:rsidRPr="00960E2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C057AA" w:rsidRDefault="00960E2D" w:rsidP="009E737A">
      <w:pPr>
        <w:spacing w:before="24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0E2D">
        <w:rPr>
          <w:rFonts w:ascii="Arial" w:hAnsi="Arial" w:cs="Arial"/>
          <w:color w:val="000000" w:themeColor="text1"/>
          <w:sz w:val="24"/>
          <w:szCs w:val="24"/>
        </w:rPr>
        <w:t xml:space="preserve">Considering that the SA Health Products Regulatory Authority is blocking companies (details furnished) from importing Meloxicam BP for compounding purposes, despite the fact that SAHPRA’s reasoning is apparently </w:t>
      </w:r>
      <w:r w:rsidRPr="00960E2D">
        <w:rPr>
          <w:rFonts w:ascii="Arial" w:eastAsia="Calibri" w:hAnsi="Arial" w:cs="Arial"/>
          <w:bCs/>
          <w:color w:val="000000" w:themeColor="text1"/>
          <w:sz w:val="24"/>
          <w:szCs w:val="24"/>
          <w:lang w:val="en-GB"/>
        </w:rPr>
        <w:t>based</w:t>
      </w:r>
      <w:r w:rsidRPr="00960E2D">
        <w:rPr>
          <w:rFonts w:ascii="Arial" w:hAnsi="Arial" w:cs="Arial"/>
          <w:color w:val="000000" w:themeColor="text1"/>
          <w:sz w:val="24"/>
          <w:szCs w:val="24"/>
        </w:rPr>
        <w:t xml:space="preserve"> on a faulty interpretation of the law (details furnished), what are the reasons that SAHPRA is blocking the importing of Meloxicam BP for compounding purposes</w:t>
      </w:r>
      <w:r w:rsidRPr="00960E2D">
        <w:rPr>
          <w:rFonts w:ascii="Arial" w:eastAsia="Calibri" w:hAnsi="Arial" w:cs="Arial"/>
          <w:bCs/>
          <w:color w:val="000000" w:themeColor="text1"/>
          <w:sz w:val="24"/>
          <w:szCs w:val="24"/>
          <w:lang w:val="en-GB"/>
        </w:rPr>
        <w:t>?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GB"/>
        </w:rPr>
        <w:tab/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GB"/>
        </w:rPr>
        <w:tab/>
      </w:r>
      <w:r w:rsidR="009E73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GB"/>
        </w:rPr>
        <w:tab/>
      </w:r>
      <w:r w:rsidR="009E73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GB"/>
        </w:rPr>
        <w:tab/>
      </w:r>
      <w:r w:rsidR="009E73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GB"/>
        </w:rPr>
        <w:tab/>
      </w:r>
      <w:r w:rsidR="009E73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GB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 w:rsidR="00630E06">
        <w:rPr>
          <w:rFonts w:ascii="Arial" w:hAnsi="Arial" w:cs="Arial"/>
          <w:b/>
          <w:bCs/>
          <w:sz w:val="12"/>
          <w:szCs w:val="12"/>
        </w:rPr>
        <w:t>6</w:t>
      </w:r>
      <w:r w:rsidR="00C057AA">
        <w:rPr>
          <w:rFonts w:ascii="Arial" w:hAnsi="Arial" w:cs="Arial"/>
          <w:b/>
          <w:bCs/>
          <w:sz w:val="12"/>
          <w:szCs w:val="12"/>
        </w:rPr>
        <w:t>8</w:t>
      </w:r>
      <w:r>
        <w:rPr>
          <w:rFonts w:ascii="Arial" w:hAnsi="Arial" w:cs="Arial"/>
          <w:b/>
          <w:bCs/>
          <w:sz w:val="12"/>
          <w:szCs w:val="12"/>
        </w:rPr>
        <w:t>3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:rsidR="006228AA" w:rsidRPr="00C057AA" w:rsidRDefault="006228AA" w:rsidP="00C057AA">
      <w:pPr>
        <w:spacing w:before="240" w:line="240" w:lineRule="auto"/>
        <w:ind w:right="30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REPLY:</w:t>
      </w:r>
    </w:p>
    <w:p w:rsidR="0006704A" w:rsidRDefault="004A44E4" w:rsidP="004A44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contentpasted0"/>
          <w:rFonts w:ascii="Arial" w:hAnsi="Arial" w:cs="Arial"/>
          <w:color w:val="3C4245"/>
          <w:sz w:val="24"/>
          <w:szCs w:val="24"/>
        </w:rPr>
        <w:t> </w:t>
      </w:r>
    </w:p>
    <w:p w:rsidR="009E737A" w:rsidRPr="00F61CB5" w:rsidRDefault="009E737A" w:rsidP="009E737A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According to the South African Health Products Regulatory Authority (SAHPRA), the importation of </w:t>
      </w:r>
      <w:r w:rsidRPr="00BB4A1A">
        <w:rPr>
          <w:rFonts w:ascii="Arial" w:eastAsia="Calibri" w:hAnsi="Arial" w:cs="Arial"/>
          <w:sz w:val="24"/>
          <w:szCs w:val="24"/>
        </w:rPr>
        <w:t>Meloxicam</w:t>
      </w:r>
      <w:r>
        <w:rPr>
          <w:rFonts w:ascii="Arial" w:eastAsia="Calibri" w:hAnsi="Arial" w:cs="Arial"/>
          <w:sz w:val="24"/>
          <w:szCs w:val="24"/>
        </w:rPr>
        <w:t xml:space="preserve"> was not blocked. Meloxicam</w:t>
      </w:r>
      <w:r w:rsidRPr="00BB4A1A">
        <w:rPr>
          <w:rFonts w:ascii="Arial" w:eastAsia="Calibri" w:hAnsi="Arial" w:cs="Arial"/>
          <w:sz w:val="24"/>
          <w:szCs w:val="24"/>
        </w:rPr>
        <w:t xml:space="preserve"> is a </w:t>
      </w:r>
      <w:r>
        <w:rPr>
          <w:rFonts w:ascii="Arial" w:eastAsia="Calibri" w:hAnsi="Arial" w:cs="Arial"/>
          <w:sz w:val="24"/>
          <w:szCs w:val="24"/>
        </w:rPr>
        <w:t xml:space="preserve">scheduled </w:t>
      </w:r>
      <w:r w:rsidRPr="00BB4A1A">
        <w:rPr>
          <w:rFonts w:ascii="Arial" w:eastAsia="Calibri" w:hAnsi="Arial" w:cs="Arial"/>
          <w:sz w:val="24"/>
          <w:szCs w:val="24"/>
        </w:rPr>
        <w:t xml:space="preserve">substance, </w:t>
      </w:r>
      <w:r>
        <w:rPr>
          <w:rFonts w:ascii="Arial" w:eastAsia="Calibri" w:hAnsi="Arial" w:cs="Arial"/>
          <w:sz w:val="24"/>
          <w:szCs w:val="24"/>
        </w:rPr>
        <w:t>and the i</w:t>
      </w:r>
      <w:r w:rsidRPr="00BB4A1A">
        <w:rPr>
          <w:rFonts w:ascii="Arial" w:eastAsia="Calibri" w:hAnsi="Arial" w:cs="Arial"/>
          <w:sz w:val="24"/>
          <w:szCs w:val="24"/>
        </w:rPr>
        <w:t>mport</w:t>
      </w:r>
      <w:r>
        <w:rPr>
          <w:rFonts w:ascii="Arial" w:eastAsia="Calibri" w:hAnsi="Arial" w:cs="Arial"/>
          <w:sz w:val="24"/>
          <w:szCs w:val="24"/>
        </w:rPr>
        <w:t xml:space="preserve">er </w:t>
      </w:r>
      <w:r w:rsidRPr="00BB4A1A">
        <w:rPr>
          <w:rFonts w:ascii="Arial" w:eastAsia="Calibri" w:hAnsi="Arial" w:cs="Arial"/>
          <w:sz w:val="24"/>
          <w:szCs w:val="24"/>
        </w:rPr>
        <w:t>of these substances require</w:t>
      </w:r>
      <w:r>
        <w:rPr>
          <w:rFonts w:ascii="Arial" w:eastAsia="Calibri" w:hAnsi="Arial" w:cs="Arial"/>
          <w:sz w:val="24"/>
          <w:szCs w:val="24"/>
        </w:rPr>
        <w:t>s</w:t>
      </w:r>
      <w:r w:rsidRPr="00BB4A1A">
        <w:rPr>
          <w:rFonts w:ascii="Arial" w:eastAsia="Calibri" w:hAnsi="Arial" w:cs="Arial"/>
          <w:sz w:val="24"/>
          <w:szCs w:val="24"/>
        </w:rPr>
        <w:t xml:space="preserve"> an </w:t>
      </w:r>
      <w:r>
        <w:rPr>
          <w:rFonts w:ascii="Arial" w:eastAsia="Calibri" w:hAnsi="Arial" w:cs="Arial"/>
          <w:sz w:val="24"/>
          <w:szCs w:val="24"/>
        </w:rPr>
        <w:t xml:space="preserve">importation </w:t>
      </w:r>
      <w:r w:rsidRPr="00BB4A1A">
        <w:rPr>
          <w:rFonts w:ascii="Arial" w:eastAsia="Calibri" w:hAnsi="Arial" w:cs="Arial"/>
          <w:sz w:val="24"/>
          <w:szCs w:val="24"/>
        </w:rPr>
        <w:t>licence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B4A1A">
        <w:rPr>
          <w:rFonts w:ascii="Arial" w:eastAsia="Calibri" w:hAnsi="Arial" w:cs="Arial"/>
          <w:sz w:val="24"/>
          <w:szCs w:val="24"/>
        </w:rPr>
        <w:t>as per Section 22C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B4A1A">
        <w:rPr>
          <w:rFonts w:ascii="Arial" w:eastAsia="Calibri" w:hAnsi="Arial" w:cs="Arial"/>
          <w:sz w:val="24"/>
          <w:szCs w:val="24"/>
        </w:rPr>
        <w:t>(1)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B4A1A">
        <w:rPr>
          <w:rFonts w:ascii="Arial" w:eastAsia="Calibri" w:hAnsi="Arial" w:cs="Arial"/>
          <w:sz w:val="24"/>
          <w:szCs w:val="24"/>
        </w:rPr>
        <w:t>(b</w:t>
      </w:r>
      <w:r w:rsidRPr="00A42471">
        <w:rPr>
          <w:rFonts w:ascii="Arial" w:eastAsia="Calibri" w:hAnsi="Arial" w:cs="Arial"/>
          <w:sz w:val="24"/>
          <w:szCs w:val="24"/>
        </w:rPr>
        <w:t xml:space="preserve">) of the </w:t>
      </w:r>
      <w:r>
        <w:rPr>
          <w:rFonts w:ascii="Arial" w:eastAsia="Calibri" w:hAnsi="Arial" w:cs="Arial"/>
          <w:sz w:val="24"/>
          <w:szCs w:val="24"/>
        </w:rPr>
        <w:t xml:space="preserve">Medicines </w:t>
      </w:r>
      <w:r w:rsidRPr="00A42471">
        <w:rPr>
          <w:rFonts w:ascii="Arial" w:eastAsia="Calibri" w:hAnsi="Arial" w:cs="Arial"/>
          <w:sz w:val="24"/>
          <w:szCs w:val="24"/>
        </w:rPr>
        <w:t xml:space="preserve">Act </w:t>
      </w:r>
      <w:r>
        <w:rPr>
          <w:rFonts w:ascii="Arial" w:eastAsia="Calibri" w:hAnsi="Arial" w:cs="Arial"/>
          <w:sz w:val="24"/>
          <w:szCs w:val="24"/>
        </w:rPr>
        <w:t>and the related regulations</w:t>
      </w:r>
      <w:r w:rsidRPr="00A42471">
        <w:rPr>
          <w:rFonts w:ascii="Arial" w:eastAsia="Calibri" w:hAnsi="Arial" w:cs="Arial"/>
          <w:sz w:val="24"/>
          <w:szCs w:val="24"/>
        </w:rPr>
        <w:t>.</w:t>
      </w:r>
    </w:p>
    <w:p w:rsidR="009E737A" w:rsidRPr="00F575DA" w:rsidRDefault="009E737A" w:rsidP="009E737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E737A" w:rsidRPr="00BB4A1A" w:rsidRDefault="009E737A" w:rsidP="009E737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B4A1A">
        <w:rPr>
          <w:rFonts w:ascii="Arial" w:eastAsia="Calibri" w:hAnsi="Arial" w:cs="Arial"/>
          <w:sz w:val="24"/>
          <w:szCs w:val="24"/>
        </w:rPr>
        <w:t xml:space="preserve">The SAHPRA processes all applications in accordance with the </w:t>
      </w:r>
      <w:r>
        <w:rPr>
          <w:rFonts w:ascii="Arial" w:eastAsia="Calibri" w:hAnsi="Arial" w:cs="Arial"/>
          <w:sz w:val="24"/>
          <w:szCs w:val="24"/>
        </w:rPr>
        <w:t>legislation</w:t>
      </w:r>
      <w:r w:rsidRPr="00BB4A1A">
        <w:rPr>
          <w:rFonts w:ascii="Arial" w:eastAsia="Calibri" w:hAnsi="Arial" w:cs="Arial"/>
          <w:sz w:val="24"/>
          <w:szCs w:val="24"/>
        </w:rPr>
        <w:t xml:space="preserve"> indicated above and has presence at the regulated ports of entry in </w:t>
      </w:r>
      <w:r>
        <w:rPr>
          <w:rFonts w:ascii="Arial" w:eastAsia="Calibri" w:hAnsi="Arial" w:cs="Arial"/>
          <w:sz w:val="24"/>
          <w:szCs w:val="24"/>
        </w:rPr>
        <w:t>line</w:t>
      </w:r>
      <w:r w:rsidRPr="00BB4A1A">
        <w:rPr>
          <w:rFonts w:ascii="Arial" w:eastAsia="Calibri" w:hAnsi="Arial" w:cs="Arial"/>
          <w:sz w:val="24"/>
          <w:szCs w:val="24"/>
        </w:rPr>
        <w:t xml:space="preserve"> with Regulation 6 of the Regulations, to ensure that the importers of scheduled substances comply with the </w:t>
      </w:r>
      <w:r>
        <w:rPr>
          <w:rFonts w:ascii="Arial" w:eastAsia="Calibri" w:hAnsi="Arial" w:cs="Arial"/>
          <w:sz w:val="24"/>
          <w:szCs w:val="24"/>
        </w:rPr>
        <w:t>l</w:t>
      </w:r>
      <w:r w:rsidRPr="00BB4A1A">
        <w:rPr>
          <w:rFonts w:ascii="Arial" w:eastAsia="Calibri" w:hAnsi="Arial" w:cs="Arial"/>
          <w:sz w:val="24"/>
          <w:szCs w:val="24"/>
        </w:rPr>
        <w:t xml:space="preserve">aw. </w:t>
      </w:r>
      <w:r>
        <w:rPr>
          <w:rFonts w:ascii="Arial" w:eastAsia="Calibri" w:hAnsi="Arial" w:cs="Arial"/>
          <w:sz w:val="24"/>
          <w:szCs w:val="24"/>
        </w:rPr>
        <w:t>As per t</w:t>
      </w:r>
      <w:r w:rsidRPr="00BB4A1A">
        <w:rPr>
          <w:rFonts w:ascii="Arial" w:eastAsia="Calibri" w:hAnsi="Arial" w:cs="Arial"/>
          <w:sz w:val="24"/>
          <w:szCs w:val="24"/>
        </w:rPr>
        <w:t xml:space="preserve">he table below </w:t>
      </w:r>
      <w:r>
        <w:rPr>
          <w:rFonts w:ascii="Arial" w:eastAsia="Calibri" w:hAnsi="Arial" w:cs="Arial"/>
          <w:sz w:val="24"/>
          <w:szCs w:val="24"/>
        </w:rPr>
        <w:t>there is no Meloxicam detained as per the list of importers provided in the question</w:t>
      </w:r>
      <w:r w:rsidRPr="00BB4A1A">
        <w:rPr>
          <w:rFonts w:ascii="Arial" w:eastAsia="Calibri" w:hAnsi="Arial" w:cs="Arial"/>
          <w:sz w:val="24"/>
          <w:szCs w:val="24"/>
        </w:rPr>
        <w:t>:</w:t>
      </w:r>
    </w:p>
    <w:p w:rsidR="009E737A" w:rsidRDefault="009E737A" w:rsidP="009E737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E737A" w:rsidRPr="00C17415" w:rsidRDefault="009E737A" w:rsidP="009E737A">
      <w:pPr>
        <w:spacing w:after="0" w:line="240" w:lineRule="auto"/>
        <w:rPr>
          <w:rFonts w:ascii="Arial" w:hAnsi="Arial" w:cs="Arial"/>
          <w:b/>
          <w:bCs/>
        </w:rPr>
      </w:pPr>
      <w:r w:rsidRPr="00C17415">
        <w:rPr>
          <w:rFonts w:ascii="Arial" w:hAnsi="Arial" w:cs="Arial"/>
          <w:b/>
          <w:bCs/>
        </w:rPr>
        <w:t xml:space="preserve">TABLE 1: </w:t>
      </w:r>
      <w:r w:rsidRPr="00BA2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  <w:t>IMPORT LICENCE APPLICATION STATUS</w:t>
      </w:r>
      <w:r w:rsidRPr="00C17415">
        <w:rPr>
          <w:rFonts w:ascii="Arial" w:hAnsi="Arial" w:cs="Arial"/>
          <w:b/>
          <w:bCs/>
        </w:rPr>
        <w:t xml:space="preserve"> OF </w:t>
      </w:r>
      <w:r>
        <w:rPr>
          <w:rFonts w:ascii="Arial" w:hAnsi="Arial" w:cs="Arial"/>
          <w:b/>
          <w:bCs/>
        </w:rPr>
        <w:t>FURNISHED</w:t>
      </w:r>
      <w:r w:rsidRPr="00C17415">
        <w:rPr>
          <w:rFonts w:ascii="Arial" w:hAnsi="Arial" w:cs="Arial"/>
          <w:b/>
          <w:bCs/>
        </w:rPr>
        <w:t xml:space="preserve"> COMPANIES </w:t>
      </w:r>
    </w:p>
    <w:tbl>
      <w:tblPr>
        <w:tblW w:w="10350" w:type="dxa"/>
        <w:tblInd w:w="-5" w:type="dxa"/>
        <w:tblLook w:val="04A0"/>
      </w:tblPr>
      <w:tblGrid>
        <w:gridCol w:w="560"/>
        <w:gridCol w:w="1870"/>
        <w:gridCol w:w="4140"/>
        <w:gridCol w:w="2250"/>
        <w:gridCol w:w="1530"/>
      </w:tblGrid>
      <w:tr w:rsidR="009E737A" w:rsidRPr="00BA2BE7" w:rsidTr="009E737A">
        <w:trPr>
          <w:trHeight w:val="29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No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Company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Import Licence Application Status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Currently Detained API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Expected Outcome date</w:t>
            </w:r>
          </w:p>
        </w:tc>
      </w:tr>
      <w:tr w:rsidR="009E737A" w:rsidRPr="00BA2BE7" w:rsidTr="009E737A">
        <w:trPr>
          <w:trHeight w:val="10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DB Fine Chem/ Spec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37A" w:rsidRPr="00BA2BE7" w:rsidRDefault="009E737A" w:rsidP="00073D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Application finalised recently Licence to Import/distribute scheduled substances as per approved list and pharmacies offering compounding services may access via this or similarly licenced facility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9E737A" w:rsidRPr="00BA2BE7" w:rsidTr="009E737A">
        <w:trPr>
          <w:trHeight w:val="10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Marsing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37A" w:rsidRPr="00BA2BE7" w:rsidRDefault="009E737A" w:rsidP="00073D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Licence being finalised, due to name change and organisational ownership changes over the past few years, they were delaying on application processes. This has now been resolved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9E737A" w:rsidRPr="00BA2BE7" w:rsidTr="009E737A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Idexis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No application received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Under review Vitamin K2 (ORTIA)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Before 9/03/2023</w:t>
            </w:r>
          </w:p>
        </w:tc>
      </w:tr>
      <w:tr w:rsidR="009E737A" w:rsidRPr="00BA2BE7" w:rsidTr="009E737A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Compounding Pharmacy of SA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No application received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None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9E737A" w:rsidRPr="00BA2BE7" w:rsidTr="009E737A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Fagron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No application received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None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9E737A" w:rsidRPr="00BA2BE7" w:rsidTr="009E737A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Rowan Management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No application received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9E737A" w:rsidRPr="00BA2BE7" w:rsidTr="009E737A">
        <w:trPr>
          <w:trHeight w:val="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V Tech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Licence application under process due to other considerations and an inspection to take place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 review prednisolone (ORTIA)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Before 9/03/2023</w:t>
            </w:r>
          </w:p>
        </w:tc>
      </w:tr>
      <w:tr w:rsidR="009E737A" w:rsidRPr="00BA2BE7" w:rsidTr="009E737A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Acupharm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No application received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 review Famotidine (ORTIA)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Before 9/03/2023</w:t>
            </w:r>
          </w:p>
        </w:tc>
      </w:tr>
      <w:tr w:rsidR="009E737A" w:rsidRPr="00BA2BE7" w:rsidTr="009E737A">
        <w:trPr>
          <w:trHeight w:val="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Lycoderm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No application received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 review Vit K1(through Multichem Sourcing ORTIA)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Before 9/03/2023</w:t>
            </w:r>
          </w:p>
        </w:tc>
      </w:tr>
      <w:tr w:rsidR="009E737A" w:rsidRPr="00BA2BE7" w:rsidTr="009E737A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Lenbury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No application received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9E737A" w:rsidRPr="00BA2BE7" w:rsidTr="009E737A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Kyron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No application received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 review Petcam (ORTIA)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Before 9/03/2023</w:t>
            </w:r>
          </w:p>
        </w:tc>
      </w:tr>
      <w:tr w:rsidR="009E737A" w:rsidRPr="00BA2BE7" w:rsidTr="009E737A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 xml:space="preserve"> Avanti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No application received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  <w:tr w:rsidR="009E737A" w:rsidRPr="00BA2BE7" w:rsidTr="009E737A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ZA"/>
              </w:rPr>
              <w:t>Vets Focus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No application received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None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37A" w:rsidRPr="00BA2BE7" w:rsidRDefault="009E737A" w:rsidP="00073D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BA2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N/A</w:t>
            </w:r>
          </w:p>
        </w:tc>
      </w:tr>
    </w:tbl>
    <w:p w:rsidR="009E737A" w:rsidRDefault="009E737A" w:rsidP="009E7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737A" w:rsidRDefault="009E737A" w:rsidP="00A14A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E134D1" w:rsidRPr="00B268F2" w:rsidRDefault="00E134D1" w:rsidP="00A14A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268F2"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B268F2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FB6" w:rsidRDefault="00623FB6" w:rsidP="00BF747C">
      <w:pPr>
        <w:spacing w:after="0" w:line="240" w:lineRule="auto"/>
      </w:pPr>
      <w:r>
        <w:separator/>
      </w:r>
    </w:p>
  </w:endnote>
  <w:endnote w:type="continuationSeparator" w:id="0">
    <w:p w:rsidR="00623FB6" w:rsidRDefault="00623FB6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3443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4A44E4" w:rsidRPr="004A44E4" w:rsidRDefault="00692513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4A44E4">
          <w:rPr>
            <w:rFonts w:ascii="Arial" w:hAnsi="Arial" w:cs="Arial"/>
            <w:sz w:val="24"/>
            <w:szCs w:val="24"/>
          </w:rPr>
          <w:fldChar w:fldCharType="begin"/>
        </w:r>
        <w:r w:rsidR="004A44E4" w:rsidRPr="004A44E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A44E4">
          <w:rPr>
            <w:rFonts w:ascii="Arial" w:hAnsi="Arial" w:cs="Arial"/>
            <w:sz w:val="24"/>
            <w:szCs w:val="24"/>
          </w:rPr>
          <w:fldChar w:fldCharType="separate"/>
        </w:r>
        <w:r w:rsidR="00623FB6">
          <w:rPr>
            <w:rFonts w:ascii="Arial" w:hAnsi="Arial" w:cs="Arial"/>
            <w:noProof/>
            <w:sz w:val="24"/>
            <w:szCs w:val="24"/>
          </w:rPr>
          <w:t>1</w:t>
        </w:r>
        <w:r w:rsidRPr="004A44E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4A44E4" w:rsidRDefault="004A44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FB6" w:rsidRDefault="00623FB6" w:rsidP="00BF747C">
      <w:pPr>
        <w:spacing w:after="0" w:line="240" w:lineRule="auto"/>
      </w:pPr>
      <w:r>
        <w:separator/>
      </w:r>
    </w:p>
  </w:footnote>
  <w:footnote w:type="continuationSeparator" w:id="0">
    <w:p w:rsidR="00623FB6" w:rsidRDefault="00623FB6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A2BD8"/>
    <w:multiLevelType w:val="multilevel"/>
    <w:tmpl w:val="7BD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5F17"/>
    <w:rsid w:val="00013511"/>
    <w:rsid w:val="0006704A"/>
    <w:rsid w:val="00071657"/>
    <w:rsid w:val="000973CE"/>
    <w:rsid w:val="000B5C30"/>
    <w:rsid w:val="000D7AA8"/>
    <w:rsid w:val="0011067E"/>
    <w:rsid w:val="001979F1"/>
    <w:rsid w:val="001C0A3B"/>
    <w:rsid w:val="001E58AE"/>
    <w:rsid w:val="001F5233"/>
    <w:rsid w:val="002032D2"/>
    <w:rsid w:val="0020357C"/>
    <w:rsid w:val="00245085"/>
    <w:rsid w:val="00275DB0"/>
    <w:rsid w:val="002D383B"/>
    <w:rsid w:val="00306F90"/>
    <w:rsid w:val="00306FFC"/>
    <w:rsid w:val="003648B1"/>
    <w:rsid w:val="0037106C"/>
    <w:rsid w:val="003B1818"/>
    <w:rsid w:val="003B2854"/>
    <w:rsid w:val="00412151"/>
    <w:rsid w:val="00464595"/>
    <w:rsid w:val="00464B29"/>
    <w:rsid w:val="0047527C"/>
    <w:rsid w:val="004A44E4"/>
    <w:rsid w:val="004B2E8A"/>
    <w:rsid w:val="004B46FE"/>
    <w:rsid w:val="004C6910"/>
    <w:rsid w:val="004D49AE"/>
    <w:rsid w:val="005419B3"/>
    <w:rsid w:val="00555563"/>
    <w:rsid w:val="005C3DC0"/>
    <w:rsid w:val="005D2583"/>
    <w:rsid w:val="005E20E3"/>
    <w:rsid w:val="005F024D"/>
    <w:rsid w:val="006228AA"/>
    <w:rsid w:val="00623FB6"/>
    <w:rsid w:val="00630E06"/>
    <w:rsid w:val="00641363"/>
    <w:rsid w:val="00671F77"/>
    <w:rsid w:val="0069149E"/>
    <w:rsid w:val="00692513"/>
    <w:rsid w:val="007645A8"/>
    <w:rsid w:val="007E1F8F"/>
    <w:rsid w:val="007F0AE0"/>
    <w:rsid w:val="008340BE"/>
    <w:rsid w:val="00865AA2"/>
    <w:rsid w:val="008B5385"/>
    <w:rsid w:val="008C527F"/>
    <w:rsid w:val="008D73FF"/>
    <w:rsid w:val="00942EDC"/>
    <w:rsid w:val="00960E2D"/>
    <w:rsid w:val="00994ED7"/>
    <w:rsid w:val="009D32AF"/>
    <w:rsid w:val="009E737A"/>
    <w:rsid w:val="00A14AFD"/>
    <w:rsid w:val="00A30F46"/>
    <w:rsid w:val="00A33B6B"/>
    <w:rsid w:val="00A654CA"/>
    <w:rsid w:val="00A952F9"/>
    <w:rsid w:val="00B268F2"/>
    <w:rsid w:val="00B416FF"/>
    <w:rsid w:val="00BB3958"/>
    <w:rsid w:val="00BE1738"/>
    <w:rsid w:val="00BE6B2C"/>
    <w:rsid w:val="00BF747C"/>
    <w:rsid w:val="00C057AA"/>
    <w:rsid w:val="00C2436E"/>
    <w:rsid w:val="00C36128"/>
    <w:rsid w:val="00C94EDC"/>
    <w:rsid w:val="00CE2151"/>
    <w:rsid w:val="00D514C2"/>
    <w:rsid w:val="00D566C6"/>
    <w:rsid w:val="00D702F8"/>
    <w:rsid w:val="00DB5964"/>
    <w:rsid w:val="00E04188"/>
    <w:rsid w:val="00E134D1"/>
    <w:rsid w:val="00E165E7"/>
    <w:rsid w:val="00E207B7"/>
    <w:rsid w:val="00E310B6"/>
    <w:rsid w:val="00E41F34"/>
    <w:rsid w:val="00E45F7A"/>
    <w:rsid w:val="00E5287A"/>
    <w:rsid w:val="00EA7633"/>
    <w:rsid w:val="00EB790D"/>
    <w:rsid w:val="00F00309"/>
    <w:rsid w:val="00F1307A"/>
    <w:rsid w:val="00F3386F"/>
    <w:rsid w:val="00F5530C"/>
    <w:rsid w:val="00FA08DD"/>
    <w:rsid w:val="00FA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13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C94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4A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2023-03-29T07:24:00Z</dcterms:created>
  <dcterms:modified xsi:type="dcterms:W3CDTF">2023-03-29T07:24:00Z</dcterms:modified>
</cp:coreProperties>
</file>