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85" w:rsidRDefault="00DB6285" w:rsidP="00DB6285">
      <w:pPr>
        <w:tabs>
          <w:tab w:val="left" w:pos="432"/>
          <w:tab w:val="left" w:pos="864"/>
        </w:tabs>
        <w:spacing w:line="276" w:lineRule="auto"/>
        <w:jc w:val="center"/>
        <w:rPr>
          <w:rFonts w:ascii="Arial" w:hAnsi="Arial" w:cs="Arial"/>
          <w:b/>
          <w:sz w:val="22"/>
          <w:szCs w:val="22"/>
        </w:rPr>
      </w:pPr>
      <w:r>
        <w:rPr>
          <w:rFonts w:ascii="Arial" w:hAnsi="Arial" w:cs="Arial"/>
          <w:b/>
          <w:sz w:val="22"/>
          <w:szCs w:val="22"/>
        </w:rPr>
        <w:t>NATIONAL ASSEMBLY</w:t>
      </w:r>
    </w:p>
    <w:p w:rsidR="00DB6285" w:rsidRDefault="00DB6285" w:rsidP="00DB6285">
      <w:pPr>
        <w:tabs>
          <w:tab w:val="left" w:pos="432"/>
          <w:tab w:val="left" w:pos="864"/>
        </w:tabs>
        <w:spacing w:line="276" w:lineRule="auto"/>
        <w:jc w:val="center"/>
        <w:rPr>
          <w:rFonts w:ascii="Arial" w:hAnsi="Arial" w:cs="Arial"/>
          <w:b/>
          <w:sz w:val="22"/>
          <w:szCs w:val="22"/>
        </w:rPr>
      </w:pPr>
      <w:r>
        <w:rPr>
          <w:rFonts w:ascii="Arial" w:hAnsi="Arial" w:cs="Arial"/>
          <w:b/>
          <w:sz w:val="22"/>
          <w:szCs w:val="22"/>
        </w:rPr>
        <w:t>QUESTION FOR WRITTEN REPLY</w:t>
      </w:r>
    </w:p>
    <w:p w:rsidR="00DB6285" w:rsidRDefault="00DB6285" w:rsidP="00DB6285">
      <w:pPr>
        <w:tabs>
          <w:tab w:val="left" w:pos="432"/>
          <w:tab w:val="left" w:pos="864"/>
        </w:tabs>
        <w:spacing w:line="276" w:lineRule="auto"/>
        <w:jc w:val="center"/>
        <w:rPr>
          <w:rFonts w:ascii="Arial" w:hAnsi="Arial" w:cs="Arial"/>
          <w:b/>
          <w:sz w:val="22"/>
          <w:szCs w:val="22"/>
        </w:rPr>
      </w:pPr>
      <w:r>
        <w:rPr>
          <w:rFonts w:ascii="Arial" w:hAnsi="Arial" w:cs="Arial"/>
          <w:b/>
          <w:sz w:val="22"/>
          <w:szCs w:val="22"/>
        </w:rPr>
        <w:t xml:space="preserve">QUESTION NUMBER: </w:t>
      </w:r>
      <w:r w:rsidR="00FA0A43">
        <w:rPr>
          <w:rFonts w:ascii="Arial" w:hAnsi="Arial" w:cs="Arial"/>
          <w:b/>
          <w:sz w:val="22"/>
          <w:szCs w:val="22"/>
        </w:rPr>
        <w:t>611</w:t>
      </w:r>
      <w:r>
        <w:rPr>
          <w:rFonts w:ascii="Arial" w:hAnsi="Arial" w:cs="Arial"/>
          <w:b/>
          <w:sz w:val="22"/>
          <w:szCs w:val="22"/>
        </w:rPr>
        <w:t xml:space="preserve"> [</w:t>
      </w:r>
      <w:r w:rsidR="00FA0A43">
        <w:rPr>
          <w:rFonts w:ascii="Arial" w:hAnsi="Arial" w:cs="Arial"/>
          <w:b/>
          <w:sz w:val="22"/>
          <w:szCs w:val="22"/>
          <w:lang w:val="en-ZA"/>
        </w:rPr>
        <w:t>NW734</w:t>
      </w:r>
      <w:r>
        <w:rPr>
          <w:rFonts w:ascii="Arial" w:hAnsi="Arial" w:cs="Arial"/>
          <w:b/>
          <w:sz w:val="22"/>
          <w:szCs w:val="22"/>
          <w:lang w:val="en-ZA"/>
        </w:rPr>
        <w:t>E</w:t>
      </w:r>
      <w:r>
        <w:rPr>
          <w:rFonts w:ascii="Arial" w:hAnsi="Arial" w:cs="Arial"/>
          <w:b/>
          <w:sz w:val="22"/>
          <w:szCs w:val="22"/>
        </w:rPr>
        <w:t>]</w:t>
      </w:r>
    </w:p>
    <w:p w:rsidR="00DB6285" w:rsidRDefault="00DB6285" w:rsidP="00DB6285">
      <w:pPr>
        <w:tabs>
          <w:tab w:val="left" w:pos="432"/>
          <w:tab w:val="left" w:pos="864"/>
        </w:tabs>
        <w:spacing w:line="276" w:lineRule="auto"/>
        <w:jc w:val="center"/>
        <w:rPr>
          <w:rFonts w:ascii="Arial" w:hAnsi="Arial" w:cs="Arial"/>
          <w:b/>
          <w:sz w:val="22"/>
          <w:szCs w:val="22"/>
        </w:rPr>
      </w:pPr>
      <w:r>
        <w:rPr>
          <w:rFonts w:ascii="Arial" w:hAnsi="Arial" w:cs="Arial"/>
          <w:b/>
          <w:sz w:val="22"/>
          <w:szCs w:val="22"/>
        </w:rPr>
        <w:t xml:space="preserve">DATE OF PUBLICATION: </w:t>
      </w:r>
      <w:r w:rsidR="00FA0A43">
        <w:rPr>
          <w:rFonts w:ascii="Arial" w:hAnsi="Arial" w:cs="Arial"/>
          <w:b/>
          <w:sz w:val="22"/>
          <w:szCs w:val="22"/>
        </w:rPr>
        <w:t>8 MARCH 2019</w:t>
      </w:r>
    </w:p>
    <w:p w:rsidR="00DB6285" w:rsidRDefault="00DB6285" w:rsidP="00DB6285">
      <w:pPr>
        <w:pStyle w:val="BodyTextIndent"/>
        <w:spacing w:line="276" w:lineRule="auto"/>
        <w:ind w:left="0" w:firstLine="0"/>
        <w:rPr>
          <w:rFonts w:ascii="Arial" w:hAnsi="Arial" w:cs="Arial"/>
          <w:b/>
          <w:sz w:val="22"/>
          <w:szCs w:val="22"/>
        </w:rPr>
      </w:pPr>
    </w:p>
    <w:p w:rsidR="00FA0A43" w:rsidRPr="00FA0A43" w:rsidRDefault="00FA0A43" w:rsidP="00DB6285">
      <w:pPr>
        <w:spacing w:before="100" w:beforeAutospacing="1" w:after="100" w:afterAutospacing="1"/>
        <w:ind w:left="720" w:hanging="720"/>
        <w:jc w:val="both"/>
        <w:rPr>
          <w:rFonts w:ascii="Arial" w:hAnsi="Arial" w:cs="Arial"/>
          <w:b/>
          <w:sz w:val="22"/>
          <w:szCs w:val="22"/>
        </w:rPr>
      </w:pPr>
      <w:r w:rsidRPr="00FA0A43">
        <w:rPr>
          <w:rFonts w:ascii="Arial" w:hAnsi="Arial" w:cs="Arial"/>
          <w:b/>
          <w:sz w:val="22"/>
          <w:szCs w:val="22"/>
        </w:rPr>
        <w:t xml:space="preserve">611. Mr P G Atkinson (DA) to ask the Minister of Finance: </w:t>
      </w:r>
    </w:p>
    <w:p w:rsidR="00FA0A43" w:rsidRPr="00FA0A43" w:rsidRDefault="00FA0A43" w:rsidP="00DB6285">
      <w:pPr>
        <w:spacing w:before="100" w:beforeAutospacing="1" w:after="100" w:afterAutospacing="1"/>
        <w:ind w:left="720" w:hanging="720"/>
        <w:jc w:val="both"/>
        <w:rPr>
          <w:rFonts w:ascii="Arial" w:hAnsi="Arial" w:cs="Arial"/>
          <w:sz w:val="22"/>
          <w:szCs w:val="22"/>
        </w:rPr>
      </w:pPr>
      <w:r w:rsidRPr="00FA0A43">
        <w:rPr>
          <w:rFonts w:ascii="Arial" w:hAnsi="Arial" w:cs="Arial"/>
          <w:sz w:val="22"/>
          <w:szCs w:val="22"/>
        </w:rPr>
        <w:t xml:space="preserve">(1) </w:t>
      </w:r>
      <w:r w:rsidRPr="00FA0A43">
        <w:rPr>
          <w:rFonts w:ascii="Arial" w:hAnsi="Arial" w:cs="Arial"/>
          <w:sz w:val="22"/>
          <w:szCs w:val="22"/>
        </w:rPr>
        <w:tab/>
      </w:r>
      <w:r w:rsidRPr="00FA0A43">
        <w:rPr>
          <w:rFonts w:ascii="Arial" w:hAnsi="Arial" w:cs="Arial"/>
          <w:sz w:val="22"/>
          <w:szCs w:val="22"/>
        </w:rPr>
        <w:t xml:space="preserve">Whether (a) the National Treasury and/or (b) any entity </w:t>
      </w:r>
      <w:r w:rsidRPr="00FA0A43">
        <w:rPr>
          <w:rFonts w:ascii="Arial" w:hAnsi="Arial" w:cs="Arial"/>
          <w:sz w:val="22"/>
          <w:szCs w:val="22"/>
        </w:rPr>
        <w:t xml:space="preserve">reporting to him contracted the </w:t>
      </w:r>
      <w:r w:rsidRPr="00FA0A43">
        <w:rPr>
          <w:rFonts w:ascii="Arial" w:hAnsi="Arial" w:cs="Arial"/>
          <w:sz w:val="22"/>
          <w:szCs w:val="22"/>
        </w:rPr>
        <w:t xml:space="preserve">services of a certain company (name and details furnished) in each of the past 10 financial years; if so, what (i) number of contracts were signed, (ii) was the date on which each contract was signed, (iii) was the duration of each contract, (iv) services did the company render and (v) was the monetary value of each contract in each case; </w:t>
      </w:r>
    </w:p>
    <w:p w:rsidR="00FA0A43" w:rsidRPr="00FA0A43" w:rsidRDefault="00FA0A43" w:rsidP="00DB6285">
      <w:pPr>
        <w:spacing w:before="100" w:beforeAutospacing="1" w:after="100" w:afterAutospacing="1"/>
        <w:ind w:left="720" w:hanging="720"/>
        <w:jc w:val="both"/>
        <w:rPr>
          <w:rFonts w:ascii="Arial" w:hAnsi="Arial" w:cs="Arial"/>
          <w:sz w:val="22"/>
          <w:szCs w:val="22"/>
        </w:rPr>
      </w:pPr>
      <w:r w:rsidRPr="00FA0A43">
        <w:rPr>
          <w:rFonts w:ascii="Arial" w:hAnsi="Arial" w:cs="Arial"/>
          <w:sz w:val="22"/>
          <w:szCs w:val="22"/>
        </w:rPr>
        <w:t xml:space="preserve">(2) </w:t>
      </w:r>
      <w:r w:rsidRPr="00FA0A43">
        <w:rPr>
          <w:rFonts w:ascii="Arial" w:hAnsi="Arial" w:cs="Arial"/>
          <w:sz w:val="22"/>
          <w:szCs w:val="22"/>
        </w:rPr>
        <w:tab/>
      </w:r>
      <w:r w:rsidRPr="00FA0A43">
        <w:rPr>
          <w:rFonts w:ascii="Arial" w:hAnsi="Arial" w:cs="Arial"/>
          <w:sz w:val="22"/>
          <w:szCs w:val="22"/>
        </w:rPr>
        <w:t xml:space="preserve">whether any irregular expenditure relating to the contracts was recorded and/or condoned in each case; if so, what are the relevant details? </w:t>
      </w:r>
    </w:p>
    <w:p w:rsidR="00FA0A43" w:rsidRPr="00FA0A43" w:rsidRDefault="00FA0A43" w:rsidP="00FA0A43">
      <w:pPr>
        <w:spacing w:before="100" w:beforeAutospacing="1" w:after="100" w:afterAutospacing="1"/>
        <w:ind w:left="6480" w:firstLine="720"/>
        <w:jc w:val="both"/>
        <w:rPr>
          <w:rFonts w:ascii="Arial" w:eastAsia="Calibri" w:hAnsi="Arial" w:cs="Arial"/>
          <w:sz w:val="22"/>
          <w:szCs w:val="22"/>
          <w:lang w:val="en-GB"/>
        </w:rPr>
      </w:pPr>
      <w:bookmarkStart w:id="0" w:name="_GoBack"/>
      <w:r w:rsidRPr="00FA0A43">
        <w:rPr>
          <w:rFonts w:ascii="Arial" w:hAnsi="Arial" w:cs="Arial"/>
          <w:sz w:val="22"/>
          <w:szCs w:val="22"/>
        </w:rPr>
        <w:t>NW734E</w:t>
      </w:r>
    </w:p>
    <w:bookmarkEnd w:id="0"/>
    <w:p w:rsidR="00DB6285" w:rsidRDefault="00FA0A43" w:rsidP="00DB6285">
      <w:pPr>
        <w:spacing w:line="276" w:lineRule="auto"/>
        <w:jc w:val="both"/>
        <w:outlineLvl w:val="0"/>
        <w:rPr>
          <w:rFonts w:ascii="Arial" w:hAnsi="Arial" w:cs="Arial"/>
          <w:b/>
          <w:sz w:val="22"/>
          <w:szCs w:val="22"/>
        </w:rPr>
      </w:pPr>
      <w:r>
        <w:rPr>
          <w:rFonts w:ascii="Arial" w:hAnsi="Arial" w:cs="Arial"/>
          <w:b/>
          <w:sz w:val="22"/>
          <w:szCs w:val="22"/>
        </w:rPr>
        <w:t>REPLY</w:t>
      </w:r>
    </w:p>
    <w:p w:rsidR="00FA0A43" w:rsidRDefault="00FA0A43" w:rsidP="00DB6285">
      <w:pPr>
        <w:spacing w:line="276" w:lineRule="auto"/>
        <w:jc w:val="both"/>
        <w:outlineLvl w:val="0"/>
        <w:rPr>
          <w:rFonts w:ascii="Arial" w:hAnsi="Arial" w:cs="Arial"/>
          <w:sz w:val="22"/>
          <w:szCs w:val="22"/>
        </w:rPr>
      </w:pPr>
    </w:p>
    <w:p w:rsidR="00FA0A43" w:rsidRPr="00FA0A43" w:rsidRDefault="00FA0A43" w:rsidP="00FA0A43">
      <w:pPr>
        <w:spacing w:line="276" w:lineRule="auto"/>
        <w:jc w:val="both"/>
        <w:outlineLvl w:val="0"/>
        <w:rPr>
          <w:rFonts w:ascii="Arial" w:hAnsi="Arial" w:cs="Arial"/>
          <w:b/>
          <w:sz w:val="22"/>
          <w:szCs w:val="22"/>
        </w:rPr>
      </w:pPr>
      <w:r w:rsidRPr="00FA0A43">
        <w:rPr>
          <w:rFonts w:ascii="Arial" w:hAnsi="Arial" w:cs="Arial"/>
          <w:b/>
          <w:sz w:val="22"/>
          <w:szCs w:val="22"/>
        </w:rPr>
        <w:t>NATIONAL TREASURY</w:t>
      </w:r>
    </w:p>
    <w:p w:rsidR="00FA0A43" w:rsidRDefault="00FA0A43" w:rsidP="00FA0A43">
      <w:pPr>
        <w:spacing w:line="276" w:lineRule="auto"/>
        <w:jc w:val="both"/>
        <w:outlineLvl w:val="0"/>
        <w:rPr>
          <w:rFonts w:ascii="Arial" w:hAnsi="Arial" w:cs="Arial"/>
          <w:sz w:val="22"/>
          <w:szCs w:val="22"/>
        </w:rPr>
      </w:pPr>
    </w:p>
    <w:p w:rsidR="00FA0A43" w:rsidRPr="006B4250" w:rsidRDefault="00FA0A43" w:rsidP="00FA0A43">
      <w:pPr>
        <w:pStyle w:val="ListParagraph"/>
        <w:numPr>
          <w:ilvl w:val="0"/>
          <w:numId w:val="10"/>
        </w:numPr>
        <w:spacing w:line="276" w:lineRule="auto"/>
        <w:ind w:left="426" w:hanging="426"/>
        <w:jc w:val="both"/>
        <w:outlineLvl w:val="0"/>
        <w:rPr>
          <w:rFonts w:ascii="Arial" w:eastAsia="Calibri" w:hAnsi="Arial" w:cs="Arial"/>
          <w:sz w:val="22"/>
          <w:szCs w:val="22"/>
          <w:lang w:val="en-GB"/>
        </w:rPr>
      </w:pPr>
      <w:r w:rsidRPr="004D47AA">
        <w:rPr>
          <w:rFonts w:ascii="Arial" w:eastAsia="Calibri" w:hAnsi="Arial" w:cs="Arial"/>
          <w:sz w:val="22"/>
          <w:szCs w:val="22"/>
          <w:lang w:val="en-GB"/>
        </w:rPr>
        <w:t xml:space="preserve">(a) </w:t>
      </w:r>
      <w:r>
        <w:rPr>
          <w:rFonts w:ascii="Arial" w:eastAsia="Calibri" w:hAnsi="Arial" w:cs="Arial"/>
          <w:sz w:val="22"/>
          <w:szCs w:val="22"/>
          <w:lang w:val="en-GB"/>
        </w:rPr>
        <w:t>No</w:t>
      </w:r>
    </w:p>
    <w:tbl>
      <w:tblPr>
        <w:tblStyle w:val="TableGrid"/>
        <w:tblW w:w="0" w:type="auto"/>
        <w:tblInd w:w="817" w:type="dxa"/>
        <w:tblLook w:val="04A0" w:firstRow="1" w:lastRow="0" w:firstColumn="1" w:lastColumn="0" w:noHBand="0" w:noVBand="1"/>
      </w:tblPr>
      <w:tblGrid>
        <w:gridCol w:w="1649"/>
        <w:gridCol w:w="1624"/>
        <w:gridCol w:w="1631"/>
        <w:gridCol w:w="1843"/>
        <w:gridCol w:w="1497"/>
      </w:tblGrid>
      <w:tr w:rsidR="00FA0A43" w:rsidTr="00412E52">
        <w:tc>
          <w:tcPr>
            <w:tcW w:w="1760" w:type="dxa"/>
            <w:shd w:val="clear" w:color="auto" w:fill="D9D9D9" w:themeFill="background1" w:themeFillShade="D9"/>
          </w:tcPr>
          <w:p w:rsidR="00FA0A43" w:rsidRPr="004D47AA" w:rsidRDefault="00FA0A43" w:rsidP="00412E52">
            <w:pPr>
              <w:tabs>
                <w:tab w:val="left" w:pos="432"/>
                <w:tab w:val="left" w:pos="864"/>
              </w:tabs>
              <w:spacing w:line="276" w:lineRule="auto"/>
              <w:jc w:val="center"/>
              <w:rPr>
                <w:rFonts w:ascii="Arial" w:eastAsia="Calibri" w:hAnsi="Arial" w:cs="Arial"/>
                <w:b/>
                <w:sz w:val="22"/>
                <w:szCs w:val="22"/>
                <w:lang w:val="en-GB"/>
              </w:rPr>
            </w:pPr>
            <w:r w:rsidRPr="004D47AA">
              <w:rPr>
                <w:rFonts w:ascii="Arial" w:eastAsia="Calibri" w:hAnsi="Arial" w:cs="Arial"/>
                <w:b/>
                <w:sz w:val="22"/>
                <w:szCs w:val="22"/>
                <w:lang w:val="en-GB"/>
              </w:rPr>
              <w:t>(i)</w:t>
            </w:r>
          </w:p>
          <w:p w:rsidR="00FA0A43" w:rsidRPr="004D47AA" w:rsidRDefault="00FA0A43" w:rsidP="00412E52">
            <w:pPr>
              <w:tabs>
                <w:tab w:val="left" w:pos="432"/>
                <w:tab w:val="left" w:pos="864"/>
              </w:tabs>
              <w:spacing w:line="276" w:lineRule="auto"/>
              <w:jc w:val="center"/>
              <w:rPr>
                <w:rFonts w:ascii="Arial" w:hAnsi="Arial" w:cs="Arial"/>
                <w:b/>
                <w:sz w:val="22"/>
                <w:szCs w:val="22"/>
              </w:rPr>
            </w:pPr>
            <w:r w:rsidRPr="004D47AA">
              <w:rPr>
                <w:rFonts w:ascii="Arial" w:eastAsia="Calibri" w:hAnsi="Arial" w:cs="Arial"/>
                <w:b/>
                <w:sz w:val="22"/>
                <w:szCs w:val="22"/>
                <w:lang w:val="en-GB"/>
              </w:rPr>
              <w:t>Number of contracts signed</w:t>
            </w:r>
          </w:p>
        </w:tc>
        <w:tc>
          <w:tcPr>
            <w:tcW w:w="1761" w:type="dxa"/>
            <w:shd w:val="clear" w:color="auto" w:fill="D9D9D9" w:themeFill="background1" w:themeFillShade="D9"/>
          </w:tcPr>
          <w:p w:rsidR="00FA0A43" w:rsidRPr="004D47AA" w:rsidRDefault="00FA0A43" w:rsidP="00412E52">
            <w:pPr>
              <w:tabs>
                <w:tab w:val="left" w:pos="432"/>
                <w:tab w:val="left" w:pos="864"/>
              </w:tabs>
              <w:spacing w:line="276" w:lineRule="auto"/>
              <w:jc w:val="center"/>
              <w:rPr>
                <w:rFonts w:ascii="Arial" w:eastAsia="Calibri" w:hAnsi="Arial" w:cs="Arial"/>
                <w:b/>
                <w:sz w:val="22"/>
                <w:szCs w:val="22"/>
                <w:lang w:val="en-GB"/>
              </w:rPr>
            </w:pPr>
            <w:r w:rsidRPr="004D47AA">
              <w:rPr>
                <w:rFonts w:ascii="Arial" w:eastAsia="Calibri" w:hAnsi="Arial" w:cs="Arial"/>
                <w:b/>
                <w:sz w:val="22"/>
                <w:szCs w:val="22"/>
                <w:lang w:val="en-GB"/>
              </w:rPr>
              <w:t xml:space="preserve">(ii) </w:t>
            </w:r>
          </w:p>
          <w:p w:rsidR="00FA0A43" w:rsidRPr="004D47AA" w:rsidRDefault="00FA0A43" w:rsidP="00412E52">
            <w:pPr>
              <w:tabs>
                <w:tab w:val="left" w:pos="432"/>
                <w:tab w:val="left" w:pos="864"/>
              </w:tabs>
              <w:spacing w:line="276" w:lineRule="auto"/>
              <w:jc w:val="center"/>
              <w:rPr>
                <w:rFonts w:ascii="Arial" w:hAnsi="Arial" w:cs="Arial"/>
                <w:b/>
                <w:sz w:val="22"/>
                <w:szCs w:val="22"/>
              </w:rPr>
            </w:pPr>
            <w:r w:rsidRPr="004D47AA">
              <w:rPr>
                <w:rFonts w:ascii="Arial" w:eastAsia="Calibri" w:hAnsi="Arial" w:cs="Arial"/>
                <w:b/>
                <w:sz w:val="22"/>
                <w:szCs w:val="22"/>
                <w:lang w:val="en-GB"/>
              </w:rPr>
              <w:t>Date on which each contract was signed</w:t>
            </w:r>
          </w:p>
        </w:tc>
        <w:tc>
          <w:tcPr>
            <w:tcW w:w="1760" w:type="dxa"/>
            <w:shd w:val="clear" w:color="auto" w:fill="D9D9D9" w:themeFill="background1" w:themeFillShade="D9"/>
          </w:tcPr>
          <w:p w:rsidR="00FA0A43" w:rsidRPr="004D47AA" w:rsidRDefault="00FA0A43" w:rsidP="00412E52">
            <w:pPr>
              <w:tabs>
                <w:tab w:val="left" w:pos="432"/>
                <w:tab w:val="left" w:pos="864"/>
              </w:tabs>
              <w:spacing w:line="276" w:lineRule="auto"/>
              <w:jc w:val="center"/>
              <w:rPr>
                <w:rFonts w:ascii="Arial" w:eastAsia="Calibri" w:hAnsi="Arial" w:cs="Arial"/>
                <w:b/>
                <w:sz w:val="22"/>
                <w:szCs w:val="22"/>
                <w:lang w:val="en-GB"/>
              </w:rPr>
            </w:pPr>
            <w:r w:rsidRPr="004D47AA">
              <w:rPr>
                <w:rFonts w:ascii="Arial" w:eastAsia="Calibri" w:hAnsi="Arial" w:cs="Arial"/>
                <w:b/>
                <w:sz w:val="22"/>
                <w:szCs w:val="22"/>
                <w:lang w:val="en-GB"/>
              </w:rPr>
              <w:t xml:space="preserve">(iii) </w:t>
            </w:r>
          </w:p>
          <w:p w:rsidR="00FA0A43" w:rsidRPr="004D47AA" w:rsidRDefault="00FA0A43" w:rsidP="00412E52">
            <w:pPr>
              <w:tabs>
                <w:tab w:val="left" w:pos="432"/>
                <w:tab w:val="left" w:pos="864"/>
              </w:tabs>
              <w:spacing w:line="276" w:lineRule="auto"/>
              <w:jc w:val="center"/>
              <w:rPr>
                <w:rFonts w:ascii="Arial" w:hAnsi="Arial" w:cs="Arial"/>
                <w:b/>
                <w:sz w:val="22"/>
                <w:szCs w:val="22"/>
              </w:rPr>
            </w:pPr>
            <w:r w:rsidRPr="004D47AA">
              <w:rPr>
                <w:rFonts w:ascii="Arial" w:eastAsia="Calibri" w:hAnsi="Arial" w:cs="Arial"/>
                <w:b/>
                <w:sz w:val="22"/>
                <w:szCs w:val="22"/>
                <w:lang w:val="en-GB"/>
              </w:rPr>
              <w:t>Duration of each contract</w:t>
            </w:r>
          </w:p>
        </w:tc>
        <w:tc>
          <w:tcPr>
            <w:tcW w:w="1948" w:type="dxa"/>
            <w:shd w:val="clear" w:color="auto" w:fill="D9D9D9" w:themeFill="background1" w:themeFillShade="D9"/>
          </w:tcPr>
          <w:p w:rsidR="00FA0A43" w:rsidRPr="004D47AA" w:rsidRDefault="00FA0A43" w:rsidP="00412E52">
            <w:pPr>
              <w:tabs>
                <w:tab w:val="left" w:pos="432"/>
                <w:tab w:val="left" w:pos="864"/>
              </w:tabs>
              <w:spacing w:line="276" w:lineRule="auto"/>
              <w:jc w:val="center"/>
              <w:rPr>
                <w:rFonts w:ascii="Arial" w:eastAsia="Calibri" w:hAnsi="Arial" w:cs="Arial"/>
                <w:b/>
                <w:sz w:val="22"/>
                <w:szCs w:val="22"/>
                <w:lang w:val="en-GB"/>
              </w:rPr>
            </w:pPr>
            <w:r w:rsidRPr="004D47AA">
              <w:rPr>
                <w:rFonts w:ascii="Arial" w:eastAsia="Calibri" w:hAnsi="Arial" w:cs="Arial"/>
                <w:b/>
                <w:sz w:val="22"/>
                <w:szCs w:val="22"/>
                <w:lang w:val="en-GB"/>
              </w:rPr>
              <w:t xml:space="preserve">(iv) </w:t>
            </w:r>
          </w:p>
          <w:p w:rsidR="00FA0A43" w:rsidRPr="004D47AA" w:rsidRDefault="00FA0A43" w:rsidP="00412E52">
            <w:pPr>
              <w:tabs>
                <w:tab w:val="left" w:pos="432"/>
                <w:tab w:val="left" w:pos="864"/>
              </w:tabs>
              <w:spacing w:line="276" w:lineRule="auto"/>
              <w:ind w:hanging="2"/>
              <w:jc w:val="center"/>
              <w:rPr>
                <w:rFonts w:ascii="Arial" w:hAnsi="Arial" w:cs="Arial"/>
                <w:b/>
                <w:sz w:val="22"/>
                <w:szCs w:val="22"/>
              </w:rPr>
            </w:pPr>
            <w:r w:rsidRPr="004D47AA">
              <w:rPr>
                <w:rFonts w:ascii="Arial" w:eastAsia="Calibri" w:hAnsi="Arial" w:cs="Arial"/>
                <w:b/>
                <w:sz w:val="22"/>
                <w:szCs w:val="22"/>
                <w:lang w:val="en-GB"/>
              </w:rPr>
              <w:t>What services did the company render?</w:t>
            </w:r>
          </w:p>
        </w:tc>
        <w:tc>
          <w:tcPr>
            <w:tcW w:w="1574" w:type="dxa"/>
            <w:shd w:val="clear" w:color="auto" w:fill="D9D9D9" w:themeFill="background1" w:themeFillShade="D9"/>
          </w:tcPr>
          <w:p w:rsidR="00FA0A43" w:rsidRPr="004D47AA" w:rsidRDefault="00FA0A43" w:rsidP="00412E52">
            <w:pPr>
              <w:tabs>
                <w:tab w:val="left" w:pos="432"/>
                <w:tab w:val="left" w:pos="864"/>
              </w:tabs>
              <w:spacing w:line="276" w:lineRule="auto"/>
              <w:jc w:val="center"/>
              <w:rPr>
                <w:rFonts w:ascii="Arial" w:eastAsia="Calibri" w:hAnsi="Arial" w:cs="Arial"/>
                <w:b/>
                <w:sz w:val="22"/>
                <w:szCs w:val="22"/>
                <w:lang w:val="en-GB"/>
              </w:rPr>
            </w:pPr>
            <w:r w:rsidRPr="004D47AA">
              <w:rPr>
                <w:rFonts w:ascii="Arial" w:eastAsia="Calibri" w:hAnsi="Arial" w:cs="Arial"/>
                <w:b/>
                <w:sz w:val="22"/>
                <w:szCs w:val="22"/>
                <w:lang w:val="en-GB"/>
              </w:rPr>
              <w:t>(v)</w:t>
            </w:r>
          </w:p>
          <w:p w:rsidR="00FA0A43" w:rsidRPr="004D47AA" w:rsidRDefault="00FA0A43" w:rsidP="00412E52">
            <w:pPr>
              <w:tabs>
                <w:tab w:val="left" w:pos="432"/>
                <w:tab w:val="left" w:pos="864"/>
              </w:tabs>
              <w:spacing w:line="276" w:lineRule="auto"/>
              <w:jc w:val="center"/>
              <w:rPr>
                <w:rFonts w:ascii="Arial" w:hAnsi="Arial" w:cs="Arial"/>
                <w:b/>
                <w:sz w:val="22"/>
                <w:szCs w:val="22"/>
              </w:rPr>
            </w:pPr>
            <w:r w:rsidRPr="004D47AA">
              <w:rPr>
                <w:rFonts w:ascii="Arial" w:eastAsia="Calibri" w:hAnsi="Arial" w:cs="Arial"/>
                <w:b/>
                <w:sz w:val="22"/>
                <w:szCs w:val="22"/>
                <w:lang w:val="en-GB"/>
              </w:rPr>
              <w:t>Monetary value of each contract in each case</w:t>
            </w:r>
          </w:p>
        </w:tc>
      </w:tr>
      <w:tr w:rsidR="00FA0A43" w:rsidTr="00412E52">
        <w:tc>
          <w:tcPr>
            <w:tcW w:w="1760" w:type="dxa"/>
          </w:tcPr>
          <w:p w:rsidR="00FA0A43" w:rsidRDefault="00FA0A43" w:rsidP="00412E52">
            <w:pPr>
              <w:tabs>
                <w:tab w:val="left" w:pos="432"/>
                <w:tab w:val="left" w:pos="864"/>
              </w:tabs>
              <w:spacing w:line="276" w:lineRule="auto"/>
              <w:jc w:val="center"/>
              <w:rPr>
                <w:rFonts w:ascii="Arial" w:hAnsi="Arial" w:cs="Arial"/>
                <w:sz w:val="22"/>
                <w:szCs w:val="22"/>
              </w:rPr>
            </w:pPr>
            <w:r>
              <w:rPr>
                <w:rFonts w:ascii="Arial" w:hAnsi="Arial" w:cs="Arial"/>
                <w:sz w:val="22"/>
                <w:szCs w:val="22"/>
              </w:rPr>
              <w:t>Nil</w:t>
            </w:r>
          </w:p>
          <w:p w:rsidR="00FA0A43" w:rsidRDefault="00FA0A43" w:rsidP="00412E52">
            <w:pPr>
              <w:tabs>
                <w:tab w:val="left" w:pos="432"/>
                <w:tab w:val="left" w:pos="864"/>
              </w:tabs>
              <w:spacing w:line="276" w:lineRule="auto"/>
              <w:jc w:val="center"/>
              <w:rPr>
                <w:rFonts w:ascii="Arial" w:hAnsi="Arial" w:cs="Arial"/>
                <w:sz w:val="22"/>
                <w:szCs w:val="22"/>
              </w:rPr>
            </w:pPr>
            <w:r>
              <w:rPr>
                <w:rFonts w:ascii="Arial" w:hAnsi="Arial" w:cs="Arial"/>
                <w:sz w:val="22"/>
                <w:szCs w:val="22"/>
              </w:rPr>
              <w:t>One purchase order issued</w:t>
            </w:r>
          </w:p>
        </w:tc>
        <w:tc>
          <w:tcPr>
            <w:tcW w:w="1761" w:type="dxa"/>
          </w:tcPr>
          <w:p w:rsidR="00FA0A43" w:rsidRDefault="00FA0A43" w:rsidP="00412E52">
            <w:pPr>
              <w:tabs>
                <w:tab w:val="left" w:pos="432"/>
                <w:tab w:val="left" w:pos="864"/>
              </w:tabs>
              <w:spacing w:line="276" w:lineRule="auto"/>
              <w:rPr>
                <w:rFonts w:ascii="Arial" w:hAnsi="Arial" w:cs="Arial"/>
                <w:sz w:val="22"/>
                <w:szCs w:val="22"/>
              </w:rPr>
            </w:pPr>
            <w:r>
              <w:rPr>
                <w:rFonts w:ascii="Arial" w:hAnsi="Arial" w:cs="Arial"/>
                <w:sz w:val="22"/>
                <w:szCs w:val="22"/>
              </w:rPr>
              <w:t>Order issued on 1 June 2015</w:t>
            </w:r>
          </w:p>
        </w:tc>
        <w:tc>
          <w:tcPr>
            <w:tcW w:w="1760" w:type="dxa"/>
          </w:tcPr>
          <w:p w:rsidR="00FA0A43" w:rsidRDefault="00FA0A43" w:rsidP="00412E52">
            <w:pPr>
              <w:tabs>
                <w:tab w:val="left" w:pos="432"/>
                <w:tab w:val="left" w:pos="864"/>
              </w:tabs>
              <w:spacing w:line="276" w:lineRule="auto"/>
              <w:ind w:right="-72"/>
              <w:jc w:val="center"/>
              <w:rPr>
                <w:rFonts w:ascii="Arial" w:hAnsi="Arial" w:cs="Arial"/>
                <w:sz w:val="22"/>
                <w:szCs w:val="22"/>
              </w:rPr>
            </w:pPr>
            <w:r>
              <w:rPr>
                <w:rFonts w:ascii="Arial" w:hAnsi="Arial" w:cs="Arial"/>
                <w:sz w:val="22"/>
                <w:szCs w:val="22"/>
              </w:rPr>
              <w:t>3 days</w:t>
            </w:r>
          </w:p>
        </w:tc>
        <w:tc>
          <w:tcPr>
            <w:tcW w:w="1948" w:type="dxa"/>
          </w:tcPr>
          <w:p w:rsidR="00FA0A43" w:rsidRDefault="00FA0A43" w:rsidP="00412E52">
            <w:pPr>
              <w:tabs>
                <w:tab w:val="left" w:pos="432"/>
                <w:tab w:val="left" w:pos="864"/>
              </w:tabs>
              <w:spacing w:line="276" w:lineRule="auto"/>
              <w:ind w:right="-154"/>
              <w:rPr>
                <w:rFonts w:ascii="Arial" w:hAnsi="Arial" w:cs="Arial"/>
                <w:sz w:val="22"/>
                <w:szCs w:val="22"/>
              </w:rPr>
            </w:pPr>
            <w:r>
              <w:rPr>
                <w:rFonts w:ascii="Arial" w:hAnsi="Arial" w:cs="Arial"/>
                <w:sz w:val="22"/>
                <w:szCs w:val="22"/>
              </w:rPr>
              <w:t>Security Services at the Cape Town International Airport for the World Economic Forum</w:t>
            </w:r>
          </w:p>
        </w:tc>
        <w:tc>
          <w:tcPr>
            <w:tcW w:w="1574" w:type="dxa"/>
          </w:tcPr>
          <w:p w:rsidR="00FA0A43" w:rsidRDefault="00FA0A43" w:rsidP="00412E52">
            <w:pPr>
              <w:tabs>
                <w:tab w:val="left" w:pos="432"/>
                <w:tab w:val="left" w:pos="864"/>
              </w:tabs>
              <w:spacing w:line="276" w:lineRule="auto"/>
              <w:rPr>
                <w:rFonts w:ascii="Arial" w:hAnsi="Arial" w:cs="Arial"/>
                <w:sz w:val="22"/>
                <w:szCs w:val="22"/>
              </w:rPr>
            </w:pPr>
            <w:r>
              <w:rPr>
                <w:rFonts w:ascii="Arial" w:hAnsi="Arial" w:cs="Arial"/>
                <w:sz w:val="22"/>
                <w:szCs w:val="22"/>
              </w:rPr>
              <w:t>R30 369.60</w:t>
            </w:r>
          </w:p>
        </w:tc>
      </w:tr>
    </w:tbl>
    <w:p w:rsidR="00FA0A43" w:rsidRPr="007663AF" w:rsidRDefault="00FA0A43" w:rsidP="00FA0A43">
      <w:pPr>
        <w:tabs>
          <w:tab w:val="left" w:pos="432"/>
          <w:tab w:val="left" w:pos="709"/>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FA0A43" w:rsidRDefault="00FA0A43" w:rsidP="00FA0A43">
      <w:pPr>
        <w:tabs>
          <w:tab w:val="left" w:pos="432"/>
          <w:tab w:val="left" w:pos="864"/>
        </w:tabs>
        <w:spacing w:line="276" w:lineRule="auto"/>
        <w:rPr>
          <w:rFonts w:ascii="Arial" w:hAnsi="Arial" w:cs="Arial"/>
          <w:sz w:val="22"/>
          <w:szCs w:val="22"/>
        </w:rPr>
      </w:pPr>
    </w:p>
    <w:p w:rsidR="00FA0A43" w:rsidRPr="006B4250" w:rsidRDefault="00FA0A43" w:rsidP="00FA0A43">
      <w:pPr>
        <w:pStyle w:val="ListParagraph"/>
        <w:numPr>
          <w:ilvl w:val="0"/>
          <w:numId w:val="10"/>
        </w:numPr>
        <w:spacing w:line="276" w:lineRule="auto"/>
        <w:ind w:left="709" w:hanging="709"/>
        <w:jc w:val="both"/>
        <w:outlineLvl w:val="0"/>
        <w:rPr>
          <w:rFonts w:ascii="Arial" w:eastAsia="Calibri" w:hAnsi="Arial" w:cs="Arial"/>
          <w:sz w:val="22"/>
          <w:szCs w:val="22"/>
          <w:lang w:val="en-GB"/>
        </w:rPr>
      </w:pPr>
      <w:r>
        <w:rPr>
          <w:rFonts w:ascii="Arial" w:eastAsia="Calibri" w:hAnsi="Arial" w:cs="Arial"/>
          <w:sz w:val="22"/>
          <w:szCs w:val="22"/>
          <w:lang w:val="en-GB"/>
        </w:rPr>
        <w:t>No</w:t>
      </w:r>
    </w:p>
    <w:p w:rsidR="00B72D0B" w:rsidRDefault="00B72D0B" w:rsidP="008F1328">
      <w:pPr>
        <w:pBdr>
          <w:bottom w:val="single" w:sz="6" w:space="1" w:color="auto"/>
        </w:pBdr>
        <w:tabs>
          <w:tab w:val="left" w:pos="432"/>
          <w:tab w:val="left" w:pos="864"/>
        </w:tabs>
        <w:spacing w:line="360" w:lineRule="auto"/>
        <w:jc w:val="both"/>
        <w:rPr>
          <w:rFonts w:ascii="Arial" w:hAnsi="Arial" w:cs="Arial"/>
          <w:b/>
          <w:sz w:val="22"/>
          <w:szCs w:val="22"/>
        </w:rPr>
      </w:pPr>
    </w:p>
    <w:p w:rsidR="005D0A53" w:rsidRPr="00AF431D" w:rsidRDefault="005D0A53" w:rsidP="008F1328">
      <w:pPr>
        <w:tabs>
          <w:tab w:val="left" w:pos="432"/>
          <w:tab w:val="left" w:pos="864"/>
        </w:tabs>
        <w:spacing w:line="360" w:lineRule="auto"/>
        <w:jc w:val="both"/>
        <w:rPr>
          <w:rFonts w:ascii="Arial" w:hAnsi="Arial" w:cs="Arial"/>
          <w:b/>
          <w:sz w:val="22"/>
          <w:szCs w:val="22"/>
        </w:rPr>
      </w:pPr>
    </w:p>
    <w:p w:rsidR="00A11CD8"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ASB</w:t>
      </w:r>
    </w:p>
    <w:p w:rsidR="006B1830" w:rsidRDefault="006B1830" w:rsidP="006B1830">
      <w:pPr>
        <w:tabs>
          <w:tab w:val="left" w:pos="432"/>
          <w:tab w:val="left" w:pos="864"/>
        </w:tabs>
        <w:spacing w:line="276" w:lineRule="auto"/>
        <w:jc w:val="both"/>
        <w:rPr>
          <w:rFonts w:ascii="Arial" w:hAnsi="Arial" w:cs="Arial"/>
          <w:sz w:val="22"/>
          <w:szCs w:val="22"/>
          <w:lang w:val="en-GB"/>
        </w:rPr>
      </w:pPr>
    </w:p>
    <w:p w:rsidR="006B1830" w:rsidRPr="006B1830" w:rsidRDefault="006B1830" w:rsidP="006B1830">
      <w:pPr>
        <w:tabs>
          <w:tab w:val="left" w:pos="432"/>
          <w:tab w:val="left" w:pos="864"/>
        </w:tabs>
        <w:spacing w:line="276" w:lineRule="auto"/>
        <w:jc w:val="both"/>
        <w:rPr>
          <w:rFonts w:ascii="Arial" w:hAnsi="Arial" w:cs="Arial"/>
          <w:sz w:val="22"/>
          <w:szCs w:val="22"/>
          <w:lang w:val="en-GB"/>
        </w:rPr>
      </w:pPr>
      <w:r w:rsidRPr="006B1830">
        <w:rPr>
          <w:rFonts w:ascii="Arial" w:hAnsi="Arial" w:cs="Arial"/>
          <w:sz w:val="22"/>
          <w:szCs w:val="22"/>
          <w:lang w:val="en-GB"/>
        </w:rPr>
        <w:t>The Accounting Standards Board did not contract the services of BOSASA now known as GLOBAL OPERATIONS in any of the past 10 financial years to date.</w:t>
      </w:r>
    </w:p>
    <w:p w:rsidR="005D0A53" w:rsidRDefault="005D0A53" w:rsidP="008F1328">
      <w:pPr>
        <w:pBdr>
          <w:bottom w:val="single" w:sz="6" w:space="1" w:color="auto"/>
        </w:pBdr>
        <w:tabs>
          <w:tab w:val="left" w:pos="432"/>
          <w:tab w:val="left" w:pos="864"/>
        </w:tabs>
        <w:spacing w:line="276" w:lineRule="auto"/>
        <w:jc w:val="both"/>
        <w:rPr>
          <w:rFonts w:ascii="Arial" w:hAnsi="Arial" w:cs="Arial"/>
          <w:sz w:val="22"/>
          <w:szCs w:val="22"/>
          <w:lang w:val="en-ZA"/>
        </w:rPr>
      </w:pPr>
    </w:p>
    <w:p w:rsidR="005D0A53" w:rsidRDefault="005D0A53" w:rsidP="008F1328">
      <w:pPr>
        <w:tabs>
          <w:tab w:val="left" w:pos="432"/>
          <w:tab w:val="left" w:pos="864"/>
        </w:tabs>
        <w:spacing w:line="276" w:lineRule="auto"/>
        <w:jc w:val="both"/>
        <w:rPr>
          <w:rFonts w:ascii="Arial" w:hAnsi="Arial" w:cs="Arial"/>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CBDA</w:t>
      </w:r>
    </w:p>
    <w:p w:rsidR="006B1830" w:rsidRDefault="006B1830" w:rsidP="008F1328">
      <w:pPr>
        <w:tabs>
          <w:tab w:val="left" w:pos="432"/>
          <w:tab w:val="left" w:pos="864"/>
        </w:tabs>
        <w:spacing w:line="276" w:lineRule="auto"/>
        <w:jc w:val="both"/>
        <w:rPr>
          <w:rFonts w:ascii="Arial" w:hAnsi="Arial" w:cs="Arial"/>
          <w:sz w:val="22"/>
          <w:szCs w:val="22"/>
        </w:rPr>
      </w:pPr>
    </w:p>
    <w:p w:rsidR="005D0A53" w:rsidRDefault="006B1830" w:rsidP="008F1328">
      <w:pPr>
        <w:tabs>
          <w:tab w:val="left" w:pos="432"/>
          <w:tab w:val="left" w:pos="864"/>
        </w:tabs>
        <w:spacing w:line="276" w:lineRule="auto"/>
        <w:jc w:val="both"/>
        <w:rPr>
          <w:rFonts w:ascii="Arial" w:hAnsi="Arial" w:cs="Arial"/>
          <w:sz w:val="22"/>
          <w:szCs w:val="22"/>
        </w:rPr>
      </w:pPr>
      <w:r w:rsidRPr="006B1830">
        <w:rPr>
          <w:rFonts w:ascii="Arial" w:hAnsi="Arial" w:cs="Arial"/>
          <w:sz w:val="22"/>
          <w:szCs w:val="22"/>
        </w:rPr>
        <w:t>The Co-operative Banks Development Agency has never contracted the services of Bosasa now known as Global Operations.</w:t>
      </w:r>
    </w:p>
    <w:p w:rsidR="005D0A53" w:rsidRDefault="005D0A53" w:rsidP="008F1328">
      <w:pPr>
        <w:pBdr>
          <w:bottom w:val="single" w:sz="6" w:space="1" w:color="auto"/>
        </w:pBdr>
        <w:tabs>
          <w:tab w:val="left" w:pos="432"/>
          <w:tab w:val="left" w:pos="864"/>
        </w:tabs>
        <w:spacing w:line="276" w:lineRule="auto"/>
        <w:jc w:val="both"/>
        <w:rPr>
          <w:rFonts w:ascii="Arial" w:hAnsi="Arial" w:cs="Arial"/>
          <w:sz w:val="22"/>
          <w:szCs w:val="22"/>
        </w:rPr>
      </w:pPr>
    </w:p>
    <w:p w:rsidR="005D0A53" w:rsidRDefault="005D0A53" w:rsidP="008F1328">
      <w:pPr>
        <w:tabs>
          <w:tab w:val="left" w:pos="432"/>
          <w:tab w:val="left" w:pos="864"/>
        </w:tabs>
        <w:spacing w:line="276" w:lineRule="auto"/>
        <w:jc w:val="both"/>
        <w:rPr>
          <w:rFonts w:ascii="Arial" w:hAnsi="Arial" w:cs="Arial"/>
          <w:sz w:val="22"/>
          <w:szCs w:val="22"/>
        </w:rPr>
      </w:pPr>
    </w:p>
    <w:p w:rsidR="007D66DE" w:rsidRPr="0041235F" w:rsidRDefault="007D66DE"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DBSA</w:t>
      </w:r>
    </w:p>
    <w:p w:rsidR="006824B2" w:rsidRPr="006824B2" w:rsidRDefault="006824B2" w:rsidP="008F1328">
      <w:pPr>
        <w:tabs>
          <w:tab w:val="left" w:pos="432"/>
          <w:tab w:val="left" w:pos="864"/>
        </w:tabs>
        <w:spacing w:line="276" w:lineRule="auto"/>
        <w:jc w:val="both"/>
        <w:rPr>
          <w:rFonts w:ascii="Arial" w:hAnsi="Arial" w:cs="Arial"/>
          <w:sz w:val="22"/>
          <w:szCs w:val="22"/>
        </w:rPr>
      </w:pPr>
    </w:p>
    <w:p w:rsidR="006B1830" w:rsidRPr="006B1830" w:rsidRDefault="006B1830" w:rsidP="006B1830">
      <w:pPr>
        <w:numPr>
          <w:ilvl w:val="0"/>
          <w:numId w:val="8"/>
        </w:numPr>
        <w:tabs>
          <w:tab w:val="left" w:pos="432"/>
          <w:tab w:val="left" w:pos="864"/>
        </w:tabs>
        <w:spacing w:line="276" w:lineRule="auto"/>
        <w:jc w:val="both"/>
        <w:rPr>
          <w:rFonts w:ascii="Arial" w:hAnsi="Arial" w:cs="Arial"/>
          <w:sz w:val="22"/>
          <w:szCs w:val="22"/>
        </w:rPr>
      </w:pPr>
      <w:r w:rsidRPr="006B1830">
        <w:rPr>
          <w:rFonts w:ascii="Arial" w:hAnsi="Arial" w:cs="Arial"/>
          <w:sz w:val="22"/>
          <w:szCs w:val="22"/>
        </w:rPr>
        <w:t>None</w:t>
      </w:r>
    </w:p>
    <w:p w:rsidR="006B1830" w:rsidRPr="006B1830" w:rsidRDefault="006B1830" w:rsidP="006B1830">
      <w:pPr>
        <w:numPr>
          <w:ilvl w:val="0"/>
          <w:numId w:val="8"/>
        </w:numPr>
        <w:tabs>
          <w:tab w:val="left" w:pos="432"/>
          <w:tab w:val="left" w:pos="864"/>
        </w:tabs>
        <w:spacing w:line="276" w:lineRule="auto"/>
        <w:jc w:val="both"/>
        <w:rPr>
          <w:rFonts w:ascii="Arial" w:hAnsi="Arial" w:cs="Arial"/>
          <w:sz w:val="22"/>
          <w:szCs w:val="22"/>
        </w:rPr>
      </w:pPr>
      <w:r w:rsidRPr="006B1830">
        <w:rPr>
          <w:rFonts w:ascii="Arial" w:hAnsi="Arial" w:cs="Arial"/>
          <w:sz w:val="22"/>
          <w:szCs w:val="22"/>
        </w:rPr>
        <w:t xml:space="preserve">None </w:t>
      </w:r>
    </w:p>
    <w:p w:rsidR="007D66DE" w:rsidRDefault="007D66DE" w:rsidP="008F1328">
      <w:pPr>
        <w:pBdr>
          <w:bottom w:val="single" w:sz="6" w:space="1" w:color="auto"/>
        </w:pBdr>
        <w:tabs>
          <w:tab w:val="left" w:pos="432"/>
          <w:tab w:val="left" w:pos="864"/>
        </w:tabs>
        <w:spacing w:line="276" w:lineRule="auto"/>
        <w:jc w:val="both"/>
        <w:rPr>
          <w:rFonts w:ascii="Arial" w:hAnsi="Arial" w:cs="Arial"/>
          <w:sz w:val="22"/>
          <w:szCs w:val="22"/>
        </w:rPr>
      </w:pPr>
    </w:p>
    <w:p w:rsidR="00FA0A43" w:rsidRDefault="00FA0A43" w:rsidP="008F1328">
      <w:pPr>
        <w:tabs>
          <w:tab w:val="left" w:pos="432"/>
          <w:tab w:val="left" w:pos="864"/>
        </w:tabs>
        <w:spacing w:line="276" w:lineRule="auto"/>
        <w:jc w:val="both"/>
        <w:rPr>
          <w:rFonts w:ascii="Arial" w:hAnsi="Arial" w:cs="Arial"/>
          <w:b/>
          <w:sz w:val="22"/>
          <w:szCs w:val="22"/>
        </w:rPr>
      </w:pPr>
    </w:p>
    <w:p w:rsidR="005D0A53"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FAIS OMBUD</w:t>
      </w:r>
    </w:p>
    <w:p w:rsidR="006B1830" w:rsidRPr="0041235F" w:rsidRDefault="006B1830" w:rsidP="008F1328">
      <w:pPr>
        <w:tabs>
          <w:tab w:val="left" w:pos="432"/>
          <w:tab w:val="left" w:pos="864"/>
        </w:tabs>
        <w:spacing w:line="276" w:lineRule="auto"/>
        <w:jc w:val="both"/>
        <w:rPr>
          <w:rFonts w:ascii="Arial" w:hAnsi="Arial" w:cs="Arial"/>
          <w:b/>
          <w:sz w:val="22"/>
          <w:szCs w:val="22"/>
        </w:rPr>
      </w:pPr>
    </w:p>
    <w:p w:rsidR="005D0A53" w:rsidRDefault="006B1830" w:rsidP="008F1328">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Inspection of the FAIS Ombud database has revealed that NO contracts were entered into with the above mentioned supplier for the financial periods ending 1 March 2007 to date. </w:t>
      </w:r>
    </w:p>
    <w:p w:rsidR="005D0A53" w:rsidRDefault="005D0A53" w:rsidP="008F1328">
      <w:pPr>
        <w:pBdr>
          <w:bottom w:val="single" w:sz="6" w:space="1" w:color="auto"/>
        </w:pBd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FIC</w:t>
      </w:r>
    </w:p>
    <w:p w:rsidR="006824B2" w:rsidRDefault="006824B2" w:rsidP="008F1328">
      <w:pPr>
        <w:pBdr>
          <w:bottom w:val="single" w:sz="6" w:space="1" w:color="auto"/>
        </w:pBdr>
        <w:tabs>
          <w:tab w:val="left" w:pos="432"/>
          <w:tab w:val="left" w:pos="864"/>
        </w:tabs>
        <w:spacing w:line="276" w:lineRule="auto"/>
        <w:jc w:val="both"/>
        <w:rPr>
          <w:rFonts w:ascii="Arial" w:hAnsi="Arial" w:cs="Arial"/>
          <w:sz w:val="22"/>
          <w:szCs w:val="22"/>
          <w:lang w:val="en-GB"/>
        </w:rPr>
      </w:pP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r w:rsidRPr="006B1830">
        <w:rPr>
          <w:rFonts w:ascii="Arial" w:hAnsi="Arial" w:cs="Arial"/>
          <w:sz w:val="22"/>
          <w:szCs w:val="22"/>
          <w:lang w:val="en-GB"/>
        </w:rPr>
        <w:t>(1)</w:t>
      </w:r>
      <w:r w:rsidRPr="006B1830">
        <w:rPr>
          <w:rFonts w:ascii="Arial" w:hAnsi="Arial" w:cs="Arial"/>
          <w:sz w:val="22"/>
          <w:szCs w:val="22"/>
          <w:lang w:val="en-GB"/>
        </w:rPr>
        <w:tab/>
        <w:t>The Financial Intelligence Centre did not contract BOSASA or Global Operations for any services in any of the past 10 financial years.</w:t>
      </w: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r w:rsidRPr="006B1830">
        <w:rPr>
          <w:rFonts w:ascii="Arial" w:hAnsi="Arial" w:cs="Arial"/>
          <w:sz w:val="22"/>
          <w:szCs w:val="22"/>
          <w:lang w:val="en-GB"/>
        </w:rPr>
        <w:t>(i)(ii)(iii)(iv)(v) Not applicable.</w:t>
      </w: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p>
    <w:p w:rsid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r w:rsidRPr="006B1830">
        <w:rPr>
          <w:rFonts w:ascii="Arial" w:hAnsi="Arial" w:cs="Arial"/>
          <w:sz w:val="22"/>
          <w:szCs w:val="22"/>
          <w:lang w:val="en-GB"/>
        </w:rPr>
        <w:t>(2)</w:t>
      </w:r>
      <w:r w:rsidRPr="006B1830">
        <w:rPr>
          <w:rFonts w:ascii="Arial" w:hAnsi="Arial" w:cs="Arial"/>
          <w:sz w:val="22"/>
          <w:szCs w:val="22"/>
          <w:lang w:val="en-GB"/>
        </w:rPr>
        <w:tab/>
        <w:t>Not applicable.</w:t>
      </w:r>
    </w:p>
    <w:p w:rsidR="006824B2" w:rsidRDefault="006824B2" w:rsidP="008F1328">
      <w:pPr>
        <w:pBdr>
          <w:bottom w:val="single" w:sz="6" w:space="1" w:color="auto"/>
        </w:pBdr>
        <w:tabs>
          <w:tab w:val="left" w:pos="432"/>
          <w:tab w:val="left" w:pos="864"/>
        </w:tabs>
        <w:spacing w:line="276" w:lineRule="auto"/>
        <w:jc w:val="both"/>
        <w:rPr>
          <w:rFonts w:ascii="Arial" w:hAnsi="Arial" w:cs="Arial"/>
          <w:sz w:val="22"/>
          <w:szCs w:val="22"/>
        </w:rPr>
      </w:pPr>
    </w:p>
    <w:p w:rsidR="006824B2" w:rsidRDefault="006824B2" w:rsidP="008F1328">
      <w:pPr>
        <w:tabs>
          <w:tab w:val="left" w:pos="432"/>
          <w:tab w:val="left" w:pos="864"/>
        </w:tabs>
        <w:spacing w:line="276" w:lineRule="auto"/>
        <w:jc w:val="both"/>
        <w:rPr>
          <w:rFonts w:ascii="Arial" w:hAnsi="Arial" w:cs="Arial"/>
          <w:sz w:val="22"/>
          <w:szCs w:val="22"/>
        </w:rPr>
      </w:pPr>
    </w:p>
    <w:p w:rsidR="006824B2" w:rsidRDefault="006824B2" w:rsidP="008F1328">
      <w:pPr>
        <w:tabs>
          <w:tab w:val="left" w:pos="432"/>
          <w:tab w:val="left" w:pos="864"/>
        </w:tabs>
        <w:spacing w:line="276" w:lineRule="auto"/>
        <w:jc w:val="both"/>
        <w:rPr>
          <w:rFonts w:ascii="Arial" w:hAnsi="Arial" w:cs="Arial"/>
          <w:b/>
          <w:sz w:val="22"/>
          <w:szCs w:val="22"/>
        </w:rPr>
      </w:pPr>
      <w:r>
        <w:rPr>
          <w:rFonts w:ascii="Arial" w:hAnsi="Arial" w:cs="Arial"/>
          <w:b/>
          <w:sz w:val="22"/>
          <w:szCs w:val="22"/>
        </w:rPr>
        <w:t>FSCA</w:t>
      </w:r>
    </w:p>
    <w:p w:rsidR="006B1830" w:rsidRDefault="006B1830" w:rsidP="006B1830">
      <w:pPr>
        <w:pBdr>
          <w:bottom w:val="single" w:sz="6" w:space="1" w:color="auto"/>
        </w:pBdr>
        <w:tabs>
          <w:tab w:val="left" w:pos="432"/>
          <w:tab w:val="left" w:pos="864"/>
        </w:tabs>
        <w:spacing w:line="276" w:lineRule="auto"/>
        <w:jc w:val="both"/>
        <w:rPr>
          <w:rFonts w:ascii="Arial" w:hAnsi="Arial" w:cs="Arial"/>
          <w:sz w:val="22"/>
          <w:szCs w:val="22"/>
        </w:rPr>
      </w:pP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rPr>
      </w:pPr>
      <w:r w:rsidRPr="006B1830">
        <w:rPr>
          <w:rFonts w:ascii="Arial" w:hAnsi="Arial" w:cs="Arial"/>
          <w:sz w:val="22"/>
          <w:szCs w:val="22"/>
        </w:rPr>
        <w:t>The Financial Sector Conduct Authority (and the former Financial Services Board) has not contracted with the mentioned companies during the past 10 years.</w:t>
      </w:r>
    </w:p>
    <w:p w:rsidR="006824B2" w:rsidRDefault="006824B2" w:rsidP="008F1328">
      <w:pPr>
        <w:pBdr>
          <w:bottom w:val="single" w:sz="6" w:space="1" w:color="auto"/>
        </w:pBdr>
        <w:tabs>
          <w:tab w:val="left" w:pos="432"/>
          <w:tab w:val="left" w:pos="864"/>
        </w:tabs>
        <w:spacing w:line="276" w:lineRule="auto"/>
        <w:jc w:val="both"/>
        <w:rPr>
          <w:rFonts w:ascii="Arial" w:hAnsi="Arial" w:cs="Arial"/>
          <w:sz w:val="22"/>
          <w:szCs w:val="22"/>
        </w:rPr>
      </w:pPr>
    </w:p>
    <w:p w:rsidR="005D0A53" w:rsidRDefault="005D0A53" w:rsidP="008F1328">
      <w:pPr>
        <w:tabs>
          <w:tab w:val="left" w:pos="432"/>
          <w:tab w:val="left" w:pos="864"/>
        </w:tabs>
        <w:spacing w:line="276" w:lineRule="auto"/>
        <w:jc w:val="both"/>
        <w:rPr>
          <w:rFonts w:ascii="Arial" w:hAnsi="Arial" w:cs="Arial"/>
          <w:sz w:val="22"/>
          <w:szCs w:val="22"/>
        </w:rPr>
      </w:pPr>
    </w:p>
    <w:p w:rsidR="006824B2" w:rsidRPr="006824B2" w:rsidRDefault="006824B2" w:rsidP="008F1328">
      <w:pPr>
        <w:tabs>
          <w:tab w:val="left" w:pos="432"/>
          <w:tab w:val="left" w:pos="864"/>
        </w:tabs>
        <w:spacing w:line="276" w:lineRule="auto"/>
        <w:jc w:val="both"/>
        <w:rPr>
          <w:rFonts w:ascii="Arial" w:hAnsi="Arial" w:cs="Arial"/>
          <w:b/>
          <w:sz w:val="22"/>
          <w:szCs w:val="22"/>
        </w:rPr>
      </w:pPr>
      <w:r w:rsidRPr="006824B2">
        <w:rPr>
          <w:rFonts w:ascii="Arial" w:hAnsi="Arial" w:cs="Arial"/>
          <w:b/>
          <w:sz w:val="22"/>
          <w:szCs w:val="22"/>
        </w:rPr>
        <w:t>GEPF</w:t>
      </w:r>
    </w:p>
    <w:p w:rsidR="006824B2" w:rsidRDefault="006824B2" w:rsidP="008F1328">
      <w:pPr>
        <w:tabs>
          <w:tab w:val="left" w:pos="432"/>
          <w:tab w:val="left" w:pos="864"/>
        </w:tabs>
        <w:spacing w:line="276" w:lineRule="auto"/>
        <w:jc w:val="both"/>
        <w:rPr>
          <w:rFonts w:ascii="Arial" w:hAnsi="Arial" w:cs="Arial"/>
          <w:sz w:val="22"/>
          <w:szCs w:val="22"/>
        </w:rPr>
      </w:pP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rPr>
      </w:pPr>
      <w:r w:rsidRPr="006B1830">
        <w:rPr>
          <w:rFonts w:ascii="Arial" w:hAnsi="Arial" w:cs="Arial"/>
          <w:sz w:val="22"/>
          <w:szCs w:val="22"/>
        </w:rPr>
        <w:t>The GEPF has not contracted the services of BOSASA now known as Global Operations in the past 10 financial years.</w:t>
      </w:r>
    </w:p>
    <w:p w:rsidR="006824B2" w:rsidRDefault="006824B2" w:rsidP="008F1328">
      <w:pPr>
        <w:pBdr>
          <w:bottom w:val="single" w:sz="6" w:space="1" w:color="auto"/>
        </w:pBdr>
        <w:tabs>
          <w:tab w:val="left" w:pos="432"/>
          <w:tab w:val="left" w:pos="864"/>
        </w:tabs>
        <w:spacing w:line="276" w:lineRule="auto"/>
        <w:jc w:val="both"/>
        <w:rPr>
          <w:rFonts w:ascii="Arial" w:hAnsi="Arial" w:cs="Arial"/>
          <w:sz w:val="22"/>
          <w:szCs w:val="22"/>
        </w:rPr>
      </w:pPr>
    </w:p>
    <w:p w:rsidR="006824B2" w:rsidRDefault="006824B2" w:rsidP="008F1328">
      <w:pPr>
        <w:tabs>
          <w:tab w:val="left" w:pos="432"/>
          <w:tab w:val="left" w:pos="864"/>
        </w:tabs>
        <w:spacing w:line="276" w:lineRule="auto"/>
        <w:jc w:val="both"/>
        <w:rPr>
          <w:rFonts w:ascii="Arial" w:hAnsi="Arial" w:cs="Arial"/>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GPAA</w:t>
      </w:r>
    </w:p>
    <w:p w:rsid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lang w:val="en-GB"/>
        </w:rPr>
      </w:pPr>
      <w:r w:rsidRPr="006B1830">
        <w:rPr>
          <w:rFonts w:ascii="Arial" w:hAnsi="Arial" w:cs="Arial"/>
          <w:sz w:val="22"/>
          <w:szCs w:val="22"/>
          <w:lang w:val="en-GB"/>
        </w:rPr>
        <w:t>The GPAA has not done any business with BOSASA (GLOBAL OPERATIONS) for the said period.</w:t>
      </w:r>
    </w:p>
    <w:p w:rsidR="00DB6285" w:rsidRDefault="00DB6285" w:rsidP="008F1328">
      <w:pPr>
        <w:pBdr>
          <w:bottom w:val="single" w:sz="6" w:space="1" w:color="auto"/>
        </w:pBd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sz w:val="22"/>
          <w:szCs w:val="22"/>
        </w:rPr>
      </w:pPr>
    </w:p>
    <w:p w:rsidR="00FA0A43" w:rsidRDefault="00FA0A43" w:rsidP="008F1328">
      <w:pPr>
        <w:tabs>
          <w:tab w:val="left" w:pos="432"/>
          <w:tab w:val="left" w:pos="864"/>
        </w:tabs>
        <w:spacing w:line="276" w:lineRule="auto"/>
        <w:jc w:val="both"/>
        <w:rPr>
          <w:rFonts w:ascii="Arial" w:hAnsi="Arial" w:cs="Arial"/>
          <w:b/>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IRBA</w:t>
      </w:r>
    </w:p>
    <w:p w:rsidR="006B1830" w:rsidRDefault="006B1830" w:rsidP="006B1830">
      <w:pPr>
        <w:pBdr>
          <w:bottom w:val="single" w:sz="6" w:space="1" w:color="auto"/>
        </w:pBdr>
        <w:tabs>
          <w:tab w:val="left" w:pos="432"/>
          <w:tab w:val="left" w:pos="864"/>
        </w:tabs>
        <w:spacing w:line="276" w:lineRule="auto"/>
        <w:jc w:val="both"/>
        <w:rPr>
          <w:rFonts w:ascii="Arial" w:hAnsi="Arial" w:cs="Arial"/>
          <w:sz w:val="22"/>
          <w:szCs w:val="22"/>
        </w:rPr>
      </w:pPr>
    </w:p>
    <w:p w:rsidR="006B1830" w:rsidRPr="006B1830" w:rsidRDefault="006B1830" w:rsidP="006B1830">
      <w:pPr>
        <w:pBdr>
          <w:bottom w:val="single" w:sz="6" w:space="1" w:color="auto"/>
        </w:pBdr>
        <w:tabs>
          <w:tab w:val="left" w:pos="432"/>
          <w:tab w:val="left" w:pos="864"/>
        </w:tabs>
        <w:spacing w:line="276" w:lineRule="auto"/>
        <w:jc w:val="both"/>
        <w:rPr>
          <w:rFonts w:ascii="Arial" w:hAnsi="Arial" w:cs="Arial"/>
          <w:sz w:val="22"/>
          <w:szCs w:val="22"/>
        </w:rPr>
      </w:pPr>
      <w:r w:rsidRPr="006B1830">
        <w:rPr>
          <w:rFonts w:ascii="Arial" w:hAnsi="Arial" w:cs="Arial"/>
          <w:sz w:val="22"/>
          <w:szCs w:val="22"/>
        </w:rPr>
        <w:t>The IRBA hereby declares that no contracts were awarded to the abovementioned company in the past 10 Financial years.</w:t>
      </w:r>
    </w:p>
    <w:p w:rsidR="0041235F" w:rsidRDefault="0041235F" w:rsidP="008F1328">
      <w:pPr>
        <w:pBdr>
          <w:bottom w:val="single" w:sz="6" w:space="1" w:color="auto"/>
        </w:pBd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LAND BANK</w:t>
      </w:r>
    </w:p>
    <w:p w:rsidR="000F3167" w:rsidRDefault="000F3167" w:rsidP="000F3167">
      <w:pPr>
        <w:tabs>
          <w:tab w:val="left" w:pos="432"/>
          <w:tab w:val="left" w:pos="864"/>
        </w:tabs>
        <w:spacing w:line="276" w:lineRule="auto"/>
        <w:jc w:val="both"/>
        <w:rPr>
          <w:rFonts w:ascii="Arial" w:hAnsi="Arial" w:cs="Arial"/>
          <w:sz w:val="22"/>
          <w:szCs w:val="22"/>
        </w:rPr>
      </w:pPr>
    </w:p>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Land Bank has never contracted the services of Bosasa or Global Operations. </w:t>
      </w:r>
    </w:p>
    <w:p w:rsidR="0041235F" w:rsidRDefault="0041235F" w:rsidP="008F1328">
      <w:pPr>
        <w:pBdr>
          <w:bottom w:val="single" w:sz="6" w:space="1" w:color="auto"/>
        </w:pBd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PFA</w:t>
      </w:r>
    </w:p>
    <w:p w:rsidR="000F3167" w:rsidRPr="000F3167" w:rsidRDefault="000F3167" w:rsidP="000F3167">
      <w:pPr>
        <w:pBdr>
          <w:bottom w:val="single" w:sz="6" w:space="1" w:color="auto"/>
        </w:pBdr>
        <w:tabs>
          <w:tab w:val="left" w:pos="432"/>
          <w:tab w:val="left" w:pos="864"/>
        </w:tabs>
        <w:spacing w:line="276" w:lineRule="auto"/>
        <w:jc w:val="both"/>
        <w:rPr>
          <w:rFonts w:ascii="Arial" w:hAnsi="Arial" w:cs="Arial"/>
          <w:sz w:val="22"/>
          <w:szCs w:val="22"/>
          <w:lang w:val="en-GB"/>
        </w:rPr>
      </w:pPr>
    </w:p>
    <w:p w:rsidR="000F3167" w:rsidRPr="000F3167" w:rsidRDefault="000F3167" w:rsidP="000F3167">
      <w:pPr>
        <w:pBdr>
          <w:bottom w:val="single" w:sz="6" w:space="1" w:color="auto"/>
        </w:pBd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(1)(b)</w:t>
      </w:r>
      <w:r w:rsidRPr="000F3167">
        <w:rPr>
          <w:rFonts w:ascii="Arial" w:hAnsi="Arial" w:cs="Arial"/>
          <w:sz w:val="22"/>
          <w:szCs w:val="22"/>
        </w:rPr>
        <w:tab/>
        <w:t>The Office of the Pension Funds Adjudicator has not contracted the services of Bosasa (now known as Global Operations) in the past 10 years.</w:t>
      </w:r>
    </w:p>
    <w:p w:rsidR="000F3167" w:rsidRPr="000F3167" w:rsidRDefault="000F3167" w:rsidP="000F3167">
      <w:pPr>
        <w:pBdr>
          <w:bottom w:val="single" w:sz="6" w:space="1" w:color="auto"/>
        </w:pBdr>
        <w:tabs>
          <w:tab w:val="left" w:pos="432"/>
          <w:tab w:val="left" w:pos="864"/>
        </w:tabs>
        <w:spacing w:line="276" w:lineRule="auto"/>
        <w:jc w:val="both"/>
        <w:rPr>
          <w:rFonts w:ascii="Arial" w:hAnsi="Arial" w:cs="Arial"/>
          <w:sz w:val="22"/>
          <w:szCs w:val="22"/>
          <w:lang w:val="en-GB"/>
        </w:rPr>
      </w:pPr>
    </w:p>
    <w:p w:rsidR="000F3167" w:rsidRPr="000F3167" w:rsidRDefault="000F3167" w:rsidP="000F3167">
      <w:pPr>
        <w:pBdr>
          <w:bottom w:val="single" w:sz="6" w:space="1" w:color="auto"/>
        </w:pBdr>
        <w:tabs>
          <w:tab w:val="left" w:pos="432"/>
          <w:tab w:val="left" w:pos="864"/>
        </w:tabs>
        <w:spacing w:line="276" w:lineRule="auto"/>
        <w:jc w:val="both"/>
        <w:rPr>
          <w:rFonts w:ascii="Arial" w:hAnsi="Arial" w:cs="Arial"/>
          <w:sz w:val="22"/>
          <w:szCs w:val="22"/>
          <w:lang w:val="en-GB"/>
        </w:rPr>
      </w:pPr>
      <w:r w:rsidRPr="000F3167">
        <w:rPr>
          <w:rFonts w:ascii="Arial" w:hAnsi="Arial" w:cs="Arial"/>
          <w:sz w:val="22"/>
          <w:szCs w:val="22"/>
          <w:lang w:val="en-GB"/>
        </w:rPr>
        <w:t>(2)</w:t>
      </w:r>
      <w:r w:rsidRPr="000F3167">
        <w:rPr>
          <w:rFonts w:ascii="Arial" w:hAnsi="Arial" w:cs="Arial"/>
          <w:sz w:val="22"/>
          <w:szCs w:val="22"/>
          <w:lang w:val="en-GB"/>
        </w:rPr>
        <w:tab/>
      </w:r>
      <w:r w:rsidRPr="000F3167">
        <w:rPr>
          <w:rFonts w:ascii="Arial" w:hAnsi="Arial" w:cs="Arial"/>
          <w:sz w:val="22"/>
          <w:szCs w:val="22"/>
        </w:rPr>
        <w:t>Not applicable.</w:t>
      </w:r>
    </w:p>
    <w:p w:rsidR="0041235F" w:rsidRDefault="0041235F" w:rsidP="008F1328">
      <w:pPr>
        <w:pBdr>
          <w:bottom w:val="single" w:sz="6" w:space="1" w:color="auto"/>
        </w:pBd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PIC</w:t>
      </w:r>
    </w:p>
    <w:p w:rsidR="000F3167" w:rsidRDefault="000F3167" w:rsidP="000F3167">
      <w:pPr>
        <w:pBdr>
          <w:bottom w:val="single" w:sz="6" w:space="1" w:color="auto"/>
        </w:pBdr>
        <w:tabs>
          <w:tab w:val="left" w:pos="432"/>
          <w:tab w:val="left" w:pos="864"/>
        </w:tabs>
        <w:spacing w:line="276" w:lineRule="auto"/>
        <w:jc w:val="both"/>
        <w:rPr>
          <w:rFonts w:ascii="Arial" w:hAnsi="Arial" w:cs="Arial"/>
          <w:sz w:val="22"/>
          <w:szCs w:val="22"/>
        </w:rPr>
      </w:pPr>
    </w:p>
    <w:p w:rsidR="000F3167" w:rsidRPr="000F3167" w:rsidRDefault="000F3167" w:rsidP="000F3167">
      <w:pPr>
        <w:pBdr>
          <w:bottom w:val="single" w:sz="6" w:space="1" w:color="auto"/>
        </w:pBd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The PIC during the last ten financial years did not contract the services of the company mentioned.</w:t>
      </w:r>
    </w:p>
    <w:p w:rsidR="008A3EAD" w:rsidRDefault="008A3EAD" w:rsidP="008F1328">
      <w:pPr>
        <w:pBdr>
          <w:bottom w:val="single" w:sz="6" w:space="1" w:color="auto"/>
        </w:pBdr>
        <w:tabs>
          <w:tab w:val="left" w:pos="432"/>
          <w:tab w:val="left" w:pos="864"/>
        </w:tabs>
        <w:spacing w:line="276" w:lineRule="auto"/>
        <w:jc w:val="both"/>
        <w:rPr>
          <w:rFonts w:ascii="Arial" w:hAnsi="Arial" w:cs="Arial"/>
          <w:sz w:val="22"/>
          <w:szCs w:val="22"/>
        </w:rPr>
      </w:pPr>
    </w:p>
    <w:p w:rsidR="003A3AED" w:rsidRDefault="003A3AED" w:rsidP="008F1328">
      <w:pPr>
        <w:tabs>
          <w:tab w:val="left" w:pos="432"/>
          <w:tab w:val="left" w:pos="864"/>
        </w:tabs>
        <w:spacing w:line="276" w:lineRule="auto"/>
        <w:jc w:val="both"/>
        <w:rPr>
          <w:rFonts w:ascii="Arial" w:hAnsi="Arial" w:cs="Arial"/>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SARS</w:t>
      </w:r>
    </w:p>
    <w:p w:rsidR="000F3167" w:rsidRDefault="000F3167" w:rsidP="000F3167">
      <w:pPr>
        <w:tabs>
          <w:tab w:val="left" w:pos="432"/>
          <w:tab w:val="left" w:pos="864"/>
        </w:tabs>
        <w:spacing w:line="276" w:lineRule="auto"/>
        <w:jc w:val="both"/>
        <w:rPr>
          <w:rFonts w:ascii="Arial" w:hAnsi="Arial" w:cs="Arial"/>
          <w:sz w:val="22"/>
          <w:szCs w:val="22"/>
          <w:lang w:val="en-GB"/>
        </w:rPr>
      </w:pPr>
    </w:p>
    <w:p w:rsidR="000F3167" w:rsidRPr="000F3167" w:rsidRDefault="000F3167" w:rsidP="000F3167">
      <w:pPr>
        <w:tabs>
          <w:tab w:val="left" w:pos="432"/>
          <w:tab w:val="left" w:pos="864"/>
        </w:tabs>
        <w:spacing w:line="276" w:lineRule="auto"/>
        <w:jc w:val="both"/>
        <w:rPr>
          <w:rFonts w:ascii="Arial" w:hAnsi="Arial" w:cs="Arial"/>
          <w:sz w:val="22"/>
          <w:szCs w:val="22"/>
          <w:lang w:val="en-GB"/>
        </w:rPr>
      </w:pPr>
      <w:r w:rsidRPr="000F3167">
        <w:rPr>
          <w:rFonts w:ascii="Arial" w:hAnsi="Arial" w:cs="Arial"/>
          <w:sz w:val="22"/>
          <w:szCs w:val="22"/>
          <w:lang w:val="en-GB"/>
        </w:rPr>
        <w:t>Question 1</w:t>
      </w:r>
    </w:p>
    <w:p w:rsidR="000F3167" w:rsidRPr="000F3167" w:rsidRDefault="000F3167" w:rsidP="000F3167">
      <w:pPr>
        <w:tabs>
          <w:tab w:val="left" w:pos="432"/>
          <w:tab w:val="left" w:pos="864"/>
        </w:tabs>
        <w:spacing w:line="276" w:lineRule="auto"/>
        <w:jc w:val="both"/>
        <w:rPr>
          <w:rFonts w:ascii="Arial" w:hAnsi="Arial" w:cs="Arial"/>
          <w:sz w:val="22"/>
          <w:szCs w:val="22"/>
          <w:lang w:val="en-GB"/>
        </w:rPr>
      </w:pPr>
      <w:r w:rsidRPr="000F3167">
        <w:rPr>
          <w:rFonts w:ascii="Arial" w:hAnsi="Arial" w:cs="Arial"/>
          <w:sz w:val="22"/>
          <w:szCs w:val="22"/>
          <w:lang w:val="en-GB"/>
        </w:rPr>
        <w:t>SARS has never contracted with, BOSASA now known as GLOBAL OPERATIONS, for any security related services.</w:t>
      </w:r>
    </w:p>
    <w:p w:rsidR="000F3167" w:rsidRDefault="000F3167" w:rsidP="000F3167">
      <w:pPr>
        <w:tabs>
          <w:tab w:val="left" w:pos="432"/>
          <w:tab w:val="left" w:pos="864"/>
        </w:tabs>
        <w:spacing w:line="276" w:lineRule="auto"/>
        <w:jc w:val="both"/>
        <w:rPr>
          <w:rFonts w:ascii="Arial" w:hAnsi="Arial" w:cs="Arial"/>
          <w:sz w:val="22"/>
          <w:szCs w:val="22"/>
          <w:lang w:val="en-GB"/>
        </w:rPr>
      </w:pPr>
    </w:p>
    <w:p w:rsidR="000F3167" w:rsidRPr="000F3167" w:rsidRDefault="000F3167" w:rsidP="000F3167">
      <w:pPr>
        <w:tabs>
          <w:tab w:val="left" w:pos="432"/>
          <w:tab w:val="left" w:pos="864"/>
        </w:tabs>
        <w:spacing w:line="276" w:lineRule="auto"/>
        <w:jc w:val="both"/>
        <w:rPr>
          <w:rFonts w:ascii="Arial" w:hAnsi="Arial" w:cs="Arial"/>
          <w:sz w:val="22"/>
          <w:szCs w:val="22"/>
          <w:lang w:val="en-GB"/>
        </w:rPr>
      </w:pPr>
      <w:r w:rsidRPr="000F3167">
        <w:rPr>
          <w:rFonts w:ascii="Arial" w:hAnsi="Arial" w:cs="Arial"/>
          <w:sz w:val="22"/>
          <w:szCs w:val="22"/>
          <w:lang w:val="en-GB"/>
        </w:rPr>
        <w:t>Question 2</w:t>
      </w:r>
    </w:p>
    <w:p w:rsidR="000F3167" w:rsidRPr="000F3167" w:rsidRDefault="000F3167" w:rsidP="000F3167">
      <w:pPr>
        <w:tabs>
          <w:tab w:val="left" w:pos="432"/>
          <w:tab w:val="left" w:pos="864"/>
        </w:tabs>
        <w:spacing w:line="276" w:lineRule="auto"/>
        <w:jc w:val="both"/>
        <w:rPr>
          <w:rFonts w:ascii="Arial" w:hAnsi="Arial" w:cs="Arial"/>
          <w:sz w:val="22"/>
          <w:szCs w:val="22"/>
          <w:lang w:val="en-GB"/>
        </w:rPr>
      </w:pPr>
      <w:r w:rsidRPr="000F3167">
        <w:rPr>
          <w:rFonts w:ascii="Arial" w:hAnsi="Arial" w:cs="Arial"/>
          <w:sz w:val="22"/>
          <w:szCs w:val="22"/>
          <w:lang w:val="en-GB"/>
        </w:rPr>
        <w:t>N/A</w:t>
      </w:r>
    </w:p>
    <w:p w:rsidR="005D0A53" w:rsidRDefault="005D0A53" w:rsidP="008F1328">
      <w:pPr>
        <w:pBdr>
          <w:bottom w:val="single" w:sz="6" w:space="1" w:color="auto"/>
        </w:pBdr>
        <w:tabs>
          <w:tab w:val="left" w:pos="432"/>
          <w:tab w:val="left" w:pos="864"/>
        </w:tabs>
        <w:spacing w:line="276" w:lineRule="auto"/>
        <w:jc w:val="both"/>
        <w:rPr>
          <w:rFonts w:ascii="Arial" w:hAnsi="Arial" w:cs="Arial"/>
          <w:sz w:val="22"/>
          <w:szCs w:val="22"/>
        </w:rPr>
      </w:pPr>
    </w:p>
    <w:p w:rsidR="0041235F" w:rsidRDefault="0041235F" w:rsidP="008F1328">
      <w:pPr>
        <w:tabs>
          <w:tab w:val="left" w:pos="432"/>
          <w:tab w:val="left" w:pos="864"/>
        </w:tabs>
        <w:spacing w:line="276" w:lineRule="auto"/>
        <w:jc w:val="both"/>
        <w:rPr>
          <w:rFonts w:ascii="Arial" w:hAnsi="Arial" w:cs="Arial"/>
          <w:sz w:val="22"/>
          <w:szCs w:val="22"/>
        </w:rPr>
      </w:pPr>
    </w:p>
    <w:p w:rsidR="005D0A53"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SASRIA</w:t>
      </w:r>
    </w:p>
    <w:p w:rsidR="000F3167" w:rsidRPr="0041235F" w:rsidRDefault="000F3167" w:rsidP="008F1328">
      <w:pPr>
        <w:tabs>
          <w:tab w:val="left" w:pos="432"/>
          <w:tab w:val="left" w:pos="864"/>
        </w:tabs>
        <w:spacing w:line="276" w:lineRule="auto"/>
        <w:jc w:val="both"/>
        <w:rPr>
          <w:rFonts w:ascii="Arial" w:hAnsi="Arial" w:cs="Arial"/>
          <w:b/>
          <w:sz w:val="22"/>
          <w:szCs w:val="22"/>
        </w:rPr>
      </w:pPr>
    </w:p>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For purposes of the question(s) raised above, Sasria SOC Ltd (“Sasria”) has not contracted the services of Bosasa now known as Global Operations (“Bosasa”), in each of the past ten financial years. </w:t>
      </w:r>
    </w:p>
    <w:p w:rsidR="000F3167" w:rsidRPr="000F3167" w:rsidRDefault="000F3167" w:rsidP="000F3167">
      <w:pPr>
        <w:tabs>
          <w:tab w:val="left" w:pos="432"/>
          <w:tab w:val="left" w:pos="864"/>
        </w:tabs>
        <w:spacing w:line="276" w:lineRule="auto"/>
        <w:jc w:val="both"/>
        <w:rPr>
          <w:rFonts w:ascii="Arial" w:hAnsi="Arial" w:cs="Arial"/>
          <w:sz w:val="22"/>
          <w:szCs w:val="22"/>
        </w:rPr>
      </w:pPr>
    </w:p>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Whilst we have taken care, and exercised the necessary diligence in preparing the requested information, it is necessary that we highlight that, there is no information that seeks to indicate or suggest whether Bosasa was at any point directly or </w:t>
      </w:r>
      <w:r w:rsidRPr="000F3167">
        <w:rPr>
          <w:rFonts w:ascii="Arial" w:hAnsi="Arial" w:cs="Arial"/>
          <w:i/>
          <w:sz w:val="22"/>
          <w:szCs w:val="22"/>
        </w:rPr>
        <w:t>indirectly</w:t>
      </w:r>
      <w:r w:rsidRPr="000F3167">
        <w:rPr>
          <w:rFonts w:ascii="Arial" w:hAnsi="Arial" w:cs="Arial"/>
          <w:sz w:val="22"/>
          <w:szCs w:val="22"/>
        </w:rPr>
        <w:t xml:space="preserve"> contracted to Sasria. </w:t>
      </w:r>
    </w:p>
    <w:p w:rsidR="000F3167" w:rsidRPr="000F3167" w:rsidRDefault="000F3167" w:rsidP="000F3167">
      <w:pPr>
        <w:tabs>
          <w:tab w:val="left" w:pos="432"/>
          <w:tab w:val="left" w:pos="864"/>
        </w:tabs>
        <w:spacing w:line="276" w:lineRule="auto"/>
        <w:jc w:val="both"/>
        <w:rPr>
          <w:rFonts w:ascii="Arial" w:hAnsi="Arial" w:cs="Arial"/>
          <w:sz w:val="22"/>
          <w:szCs w:val="22"/>
        </w:rPr>
      </w:pPr>
    </w:p>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It is also common cause, that Sasria provides specialist short-term insurance products to its clients, which include but are not limited to insurance coverage from damage caused by non-political riots, public disorder, including labour disturbances, civil unrest, strikes, lockouts and </w:t>
      </w:r>
      <w:r w:rsidRPr="000F3167">
        <w:rPr>
          <w:rFonts w:ascii="Arial" w:hAnsi="Arial" w:cs="Arial"/>
          <w:sz w:val="22"/>
          <w:szCs w:val="22"/>
        </w:rPr>
        <w:lastRenderedPageBreak/>
        <w:t>terrorism, as well as loss in respect of mortgage loans. It would therefore follow, that Sasria would be in a position to have done business with Bosasa in this respect.</w:t>
      </w:r>
    </w:p>
    <w:p w:rsidR="000F3167" w:rsidRPr="000F3167" w:rsidRDefault="000F3167" w:rsidP="000F3167">
      <w:pPr>
        <w:tabs>
          <w:tab w:val="left" w:pos="432"/>
          <w:tab w:val="left" w:pos="864"/>
        </w:tabs>
        <w:spacing w:line="276" w:lineRule="auto"/>
        <w:jc w:val="both"/>
        <w:rPr>
          <w:rFonts w:ascii="Arial" w:hAnsi="Arial" w:cs="Arial"/>
          <w:sz w:val="22"/>
          <w:szCs w:val="22"/>
        </w:rPr>
      </w:pPr>
    </w:p>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In the spirit of this, Sasria has therefore settled various insurance claims to Bosasa, and these are in the ordinary course of our business, and the said payments are neither services sought, nor contracts entered into, as the questions above specifically enquire on services entered into with Bosasa. </w:t>
      </w:r>
    </w:p>
    <w:p w:rsidR="00131D32" w:rsidRDefault="00131D32" w:rsidP="000F3167">
      <w:pPr>
        <w:tabs>
          <w:tab w:val="left" w:pos="432"/>
          <w:tab w:val="left" w:pos="864"/>
        </w:tabs>
        <w:spacing w:line="276" w:lineRule="auto"/>
        <w:jc w:val="both"/>
        <w:rPr>
          <w:rFonts w:ascii="Arial" w:hAnsi="Arial" w:cs="Arial"/>
          <w:sz w:val="22"/>
          <w:szCs w:val="22"/>
        </w:rPr>
      </w:pPr>
    </w:p>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We hereby therefore, for purposes of transparency, disclose all the claims Bosasa has had with Sasria, and stress the fact that </w:t>
      </w:r>
      <w:r w:rsidRPr="000F3167">
        <w:rPr>
          <w:rFonts w:ascii="Arial" w:hAnsi="Arial" w:cs="Arial"/>
          <w:i/>
          <w:sz w:val="22"/>
          <w:szCs w:val="22"/>
        </w:rPr>
        <w:t>these are not services nor contracts entered into</w:t>
      </w:r>
      <w:r w:rsidRPr="000F3167">
        <w:rPr>
          <w:rFonts w:ascii="Arial" w:hAnsi="Arial" w:cs="Arial"/>
          <w:sz w:val="22"/>
          <w:szCs w:val="22"/>
        </w:rPr>
        <w:t>, but claims payments in the ordinary course of our business, as mandated.</w:t>
      </w:r>
    </w:p>
    <w:p w:rsidR="000F3167" w:rsidRPr="000F3167" w:rsidRDefault="000F3167" w:rsidP="000F3167">
      <w:pPr>
        <w:tabs>
          <w:tab w:val="left" w:pos="432"/>
          <w:tab w:val="left" w:pos="864"/>
        </w:tabs>
        <w:spacing w:line="276" w:lineRule="auto"/>
        <w:jc w:val="both"/>
        <w:rPr>
          <w:rFonts w:ascii="Arial" w:hAnsi="Arial" w:cs="Arial"/>
          <w:sz w:val="22"/>
          <w:szCs w:val="22"/>
        </w:rPr>
      </w:pPr>
    </w:p>
    <w:tbl>
      <w:tblPr>
        <w:tblStyle w:val="TableGrid"/>
        <w:tblW w:w="10689" w:type="dxa"/>
        <w:tblInd w:w="-547" w:type="dxa"/>
        <w:tblLook w:val="04A0" w:firstRow="1" w:lastRow="0" w:firstColumn="1" w:lastColumn="0" w:noHBand="0" w:noVBand="1"/>
      </w:tblPr>
      <w:tblGrid>
        <w:gridCol w:w="1781"/>
        <w:gridCol w:w="1782"/>
        <w:gridCol w:w="1781"/>
        <w:gridCol w:w="1782"/>
        <w:gridCol w:w="1781"/>
        <w:gridCol w:w="1782"/>
      </w:tblGrid>
      <w:tr w:rsidR="000F3167" w:rsidRPr="000F3167" w:rsidTr="00FC6BE5">
        <w:trPr>
          <w:trHeight w:val="545"/>
        </w:trPr>
        <w:tc>
          <w:tcPr>
            <w:tcW w:w="1781" w:type="dxa"/>
          </w:tcPr>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Date (Payment)</w:t>
            </w:r>
          </w:p>
        </w:tc>
        <w:tc>
          <w:tcPr>
            <w:tcW w:w="1782" w:type="dxa"/>
          </w:tcPr>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Client</w:t>
            </w:r>
          </w:p>
        </w:tc>
        <w:tc>
          <w:tcPr>
            <w:tcW w:w="1781" w:type="dxa"/>
          </w:tcPr>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Service provided</w:t>
            </w:r>
          </w:p>
        </w:tc>
        <w:tc>
          <w:tcPr>
            <w:tcW w:w="1782" w:type="dxa"/>
          </w:tcPr>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 xml:space="preserve">Rand Value </w:t>
            </w:r>
          </w:p>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(Excl. VAT)</w:t>
            </w:r>
          </w:p>
        </w:tc>
        <w:tc>
          <w:tcPr>
            <w:tcW w:w="1781" w:type="dxa"/>
          </w:tcPr>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Duration</w:t>
            </w:r>
          </w:p>
        </w:tc>
        <w:tc>
          <w:tcPr>
            <w:tcW w:w="1782" w:type="dxa"/>
          </w:tcPr>
          <w:p w:rsidR="000F3167" w:rsidRPr="000F3167" w:rsidRDefault="000F3167" w:rsidP="000F3167">
            <w:pPr>
              <w:tabs>
                <w:tab w:val="left" w:pos="432"/>
                <w:tab w:val="left" w:pos="864"/>
              </w:tabs>
              <w:spacing w:line="276" w:lineRule="auto"/>
              <w:jc w:val="both"/>
              <w:rPr>
                <w:rFonts w:ascii="Arial" w:hAnsi="Arial" w:cs="Arial"/>
                <w:b/>
                <w:sz w:val="22"/>
                <w:szCs w:val="22"/>
              </w:rPr>
            </w:pPr>
            <w:r w:rsidRPr="000F3167">
              <w:rPr>
                <w:rFonts w:ascii="Arial" w:hAnsi="Arial" w:cs="Arial"/>
                <w:b/>
                <w:sz w:val="22"/>
                <w:szCs w:val="22"/>
              </w:rPr>
              <w:t>Irregular Expenditure</w:t>
            </w:r>
          </w:p>
        </w:tc>
      </w:tr>
      <w:tr w:rsidR="000F3167" w:rsidRPr="000F3167" w:rsidTr="00FC6BE5">
        <w:trPr>
          <w:trHeight w:val="287"/>
        </w:trPr>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 xml:space="preserve">20 March 2012 </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Bosasa Operations (Pty) Ltd</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Insurance Claim</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R 131 578.95</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r>
      <w:tr w:rsidR="000F3167" w:rsidRPr="000F3167" w:rsidTr="00FC6BE5">
        <w:trPr>
          <w:trHeight w:val="271"/>
        </w:trPr>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14 November 2012</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Bosasa Operations (Pty) Ltd</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Insurance Claim</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R 68 774.30</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r>
      <w:tr w:rsidR="000F3167" w:rsidRPr="000F3167" w:rsidTr="00FC6BE5">
        <w:trPr>
          <w:trHeight w:val="271"/>
        </w:trPr>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18 December 2013</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Bosasa Operations (Pty) Ltd</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Insurance Claim</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R 318 533.67</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r>
      <w:tr w:rsidR="000F3167" w:rsidRPr="000F3167" w:rsidTr="00FC6BE5">
        <w:trPr>
          <w:trHeight w:val="258"/>
        </w:trPr>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12 August 2015</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Bosasa Operations (Pty) Ltd</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Insurance Claim</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R 2 010 495.23</w:t>
            </w:r>
          </w:p>
        </w:tc>
        <w:tc>
          <w:tcPr>
            <w:tcW w:w="1781"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c>
          <w:tcPr>
            <w:tcW w:w="1782" w:type="dxa"/>
          </w:tcPr>
          <w:p w:rsidR="000F3167" w:rsidRPr="000F3167" w:rsidRDefault="000F3167" w:rsidP="000F3167">
            <w:pPr>
              <w:tabs>
                <w:tab w:val="left" w:pos="432"/>
                <w:tab w:val="left" w:pos="864"/>
              </w:tabs>
              <w:spacing w:line="276" w:lineRule="auto"/>
              <w:jc w:val="both"/>
              <w:rPr>
                <w:rFonts w:ascii="Arial" w:hAnsi="Arial" w:cs="Arial"/>
                <w:sz w:val="22"/>
                <w:szCs w:val="22"/>
              </w:rPr>
            </w:pPr>
            <w:r w:rsidRPr="000F3167">
              <w:rPr>
                <w:rFonts w:ascii="Arial" w:hAnsi="Arial" w:cs="Arial"/>
                <w:sz w:val="22"/>
                <w:szCs w:val="22"/>
              </w:rPr>
              <w:t>N/A</w:t>
            </w:r>
          </w:p>
        </w:tc>
      </w:tr>
    </w:tbl>
    <w:p w:rsidR="00DB6285" w:rsidRDefault="00DB6285" w:rsidP="008F1328">
      <w:pPr>
        <w:pBdr>
          <w:bottom w:val="single" w:sz="6" w:space="1" w:color="auto"/>
        </w:pBdr>
        <w:tabs>
          <w:tab w:val="left" w:pos="432"/>
          <w:tab w:val="left" w:pos="864"/>
        </w:tabs>
        <w:spacing w:line="276" w:lineRule="auto"/>
        <w:jc w:val="both"/>
        <w:rPr>
          <w:rFonts w:ascii="Arial" w:hAnsi="Arial" w:cs="Arial"/>
          <w:b/>
          <w:sz w:val="22"/>
          <w:szCs w:val="22"/>
        </w:rPr>
      </w:pPr>
    </w:p>
    <w:p w:rsidR="00DB6285" w:rsidRDefault="00DB6285" w:rsidP="008F1328">
      <w:pPr>
        <w:tabs>
          <w:tab w:val="left" w:pos="432"/>
          <w:tab w:val="left" w:pos="864"/>
        </w:tabs>
        <w:spacing w:line="276" w:lineRule="auto"/>
        <w:jc w:val="both"/>
        <w:rPr>
          <w:rFonts w:ascii="Arial" w:hAnsi="Arial" w:cs="Arial"/>
          <w:b/>
          <w:sz w:val="22"/>
          <w:szCs w:val="22"/>
        </w:rPr>
      </w:pPr>
    </w:p>
    <w:p w:rsidR="005D0A53" w:rsidRPr="0041235F" w:rsidRDefault="005D0A53" w:rsidP="008F1328">
      <w:pPr>
        <w:tabs>
          <w:tab w:val="left" w:pos="432"/>
          <w:tab w:val="left" w:pos="864"/>
        </w:tabs>
        <w:spacing w:line="276" w:lineRule="auto"/>
        <w:jc w:val="both"/>
        <w:rPr>
          <w:rFonts w:ascii="Arial" w:hAnsi="Arial" w:cs="Arial"/>
          <w:b/>
          <w:sz w:val="22"/>
          <w:szCs w:val="22"/>
        </w:rPr>
      </w:pPr>
      <w:r w:rsidRPr="0041235F">
        <w:rPr>
          <w:rFonts w:ascii="Arial" w:hAnsi="Arial" w:cs="Arial"/>
          <w:b/>
          <w:sz w:val="22"/>
          <w:szCs w:val="22"/>
        </w:rPr>
        <w:t>TAX OMBUD</w:t>
      </w:r>
    </w:p>
    <w:p w:rsidR="00A11CD8" w:rsidRDefault="00A11CD8" w:rsidP="008F1328">
      <w:pPr>
        <w:tabs>
          <w:tab w:val="left" w:pos="432"/>
          <w:tab w:val="left" w:pos="864"/>
        </w:tabs>
        <w:spacing w:line="276" w:lineRule="auto"/>
        <w:jc w:val="both"/>
        <w:rPr>
          <w:rFonts w:ascii="Arial" w:hAnsi="Arial" w:cs="Arial"/>
          <w:sz w:val="22"/>
          <w:szCs w:val="22"/>
        </w:rPr>
      </w:pPr>
    </w:p>
    <w:p w:rsidR="003A3AED" w:rsidRDefault="000F3167" w:rsidP="000F3167">
      <w:pPr>
        <w:pStyle w:val="ListParagraph"/>
        <w:numPr>
          <w:ilvl w:val="0"/>
          <w:numId w:val="9"/>
        </w:numPr>
        <w:pBdr>
          <w:bottom w:val="single" w:sz="6" w:space="1" w:color="auto"/>
        </w:pBdr>
        <w:jc w:val="both"/>
        <w:rPr>
          <w:rFonts w:ascii="Arial" w:hAnsi="Arial" w:cs="Arial"/>
          <w:sz w:val="22"/>
          <w:szCs w:val="22"/>
        </w:rPr>
      </w:pPr>
      <w:r w:rsidRPr="000F3167">
        <w:rPr>
          <w:rFonts w:ascii="Arial" w:hAnsi="Arial" w:cs="Arial"/>
          <w:sz w:val="22"/>
          <w:szCs w:val="22"/>
        </w:rPr>
        <w:t>The Office of the Tax Ombud did not contract any services of BOSASA now known as GLOBAL OPERATIONS in the past 10 financial years.</w:t>
      </w:r>
    </w:p>
    <w:p w:rsidR="000F3167" w:rsidRDefault="000F3167" w:rsidP="000F3167">
      <w:pPr>
        <w:pStyle w:val="ListParagraph"/>
        <w:numPr>
          <w:ilvl w:val="0"/>
          <w:numId w:val="9"/>
        </w:numPr>
        <w:pBdr>
          <w:bottom w:val="single" w:sz="6" w:space="1" w:color="auto"/>
        </w:pBdr>
        <w:jc w:val="both"/>
        <w:rPr>
          <w:rFonts w:ascii="Arial" w:hAnsi="Arial" w:cs="Arial"/>
          <w:sz w:val="22"/>
          <w:szCs w:val="22"/>
        </w:rPr>
      </w:pPr>
      <w:r>
        <w:rPr>
          <w:rFonts w:ascii="Arial" w:hAnsi="Arial" w:cs="Arial"/>
          <w:sz w:val="22"/>
          <w:szCs w:val="22"/>
        </w:rPr>
        <w:t xml:space="preserve">No irregular expenditure was recorded or condoned that relates to BOSASA now known as GLOBAL OPERATIONS. </w:t>
      </w:r>
    </w:p>
    <w:p w:rsidR="00B77F67" w:rsidRPr="001B0917" w:rsidRDefault="00B77F67" w:rsidP="00FA0A43">
      <w:pPr>
        <w:jc w:val="both"/>
        <w:rPr>
          <w:rFonts w:ascii="Arial" w:hAnsi="Arial" w:cs="Arial"/>
          <w:b/>
          <w:sz w:val="22"/>
          <w:szCs w:val="22"/>
        </w:rPr>
      </w:pPr>
    </w:p>
    <w:sectPr w:rsidR="00B77F67" w:rsidRPr="001B0917" w:rsidSect="00F51200">
      <w:pgSz w:w="11907" w:h="16840"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62" w:rsidRDefault="00630862" w:rsidP="00F51200">
      <w:r>
        <w:separator/>
      </w:r>
    </w:p>
  </w:endnote>
  <w:endnote w:type="continuationSeparator" w:id="0">
    <w:p w:rsidR="00630862" w:rsidRDefault="00630862" w:rsidP="00F5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62" w:rsidRDefault="00630862" w:rsidP="00F51200">
      <w:r>
        <w:separator/>
      </w:r>
    </w:p>
  </w:footnote>
  <w:footnote w:type="continuationSeparator" w:id="0">
    <w:p w:rsidR="00630862" w:rsidRDefault="00630862" w:rsidP="00F51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FDF"/>
    <w:multiLevelType w:val="hybridMultilevel"/>
    <w:tmpl w:val="D0421870"/>
    <w:lvl w:ilvl="0" w:tplc="E1A0341E">
      <w:start w:val="1"/>
      <w:numFmt w:val="decimal"/>
      <w:lvlText w:val="(%1)"/>
      <w:lvlJc w:val="left"/>
      <w:pPr>
        <w:ind w:left="1429" w:hanging="360"/>
      </w:pPr>
      <w:rPr>
        <w:rFonts w:eastAsia="Times New Roman"/>
      </w:r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start w:val="1"/>
      <w:numFmt w:val="decimal"/>
      <w:lvlText w:val="%4."/>
      <w:lvlJc w:val="left"/>
      <w:pPr>
        <w:ind w:left="3589" w:hanging="360"/>
      </w:pPr>
    </w:lvl>
    <w:lvl w:ilvl="4" w:tplc="1C090019">
      <w:start w:val="1"/>
      <w:numFmt w:val="lowerLetter"/>
      <w:lvlText w:val="%5."/>
      <w:lvlJc w:val="left"/>
      <w:pPr>
        <w:ind w:left="4309" w:hanging="360"/>
      </w:pPr>
    </w:lvl>
    <w:lvl w:ilvl="5" w:tplc="1C09001B">
      <w:start w:val="1"/>
      <w:numFmt w:val="lowerRoman"/>
      <w:lvlText w:val="%6."/>
      <w:lvlJc w:val="right"/>
      <w:pPr>
        <w:ind w:left="5029" w:hanging="180"/>
      </w:pPr>
    </w:lvl>
    <w:lvl w:ilvl="6" w:tplc="1C09000F">
      <w:start w:val="1"/>
      <w:numFmt w:val="decimal"/>
      <w:lvlText w:val="%7."/>
      <w:lvlJc w:val="left"/>
      <w:pPr>
        <w:ind w:left="5749" w:hanging="360"/>
      </w:pPr>
    </w:lvl>
    <w:lvl w:ilvl="7" w:tplc="1C090019">
      <w:start w:val="1"/>
      <w:numFmt w:val="lowerLetter"/>
      <w:lvlText w:val="%8."/>
      <w:lvlJc w:val="left"/>
      <w:pPr>
        <w:ind w:left="6469" w:hanging="360"/>
      </w:pPr>
    </w:lvl>
    <w:lvl w:ilvl="8" w:tplc="1C09001B">
      <w:start w:val="1"/>
      <w:numFmt w:val="lowerRoman"/>
      <w:lvlText w:val="%9."/>
      <w:lvlJc w:val="right"/>
      <w:pPr>
        <w:ind w:left="7189" w:hanging="180"/>
      </w:pPr>
    </w:lvl>
  </w:abstractNum>
  <w:abstractNum w:abstractNumId="1" w15:restartNumberingAfterBreak="0">
    <w:nsid w:val="22A13B7D"/>
    <w:multiLevelType w:val="hybridMultilevel"/>
    <w:tmpl w:val="B99E80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0538CD"/>
    <w:multiLevelType w:val="hybridMultilevel"/>
    <w:tmpl w:val="C8308C08"/>
    <w:lvl w:ilvl="0" w:tplc="096CB2F4">
      <w:start w:val="1"/>
      <w:numFmt w:val="lowerLetter"/>
      <w:lvlText w:val="(%1)"/>
      <w:lvlJc w:val="left"/>
      <w:pPr>
        <w:ind w:left="2727" w:hanging="360"/>
      </w:pPr>
      <w:rPr>
        <w:rFonts w:hint="default"/>
      </w:rPr>
    </w:lvl>
    <w:lvl w:ilvl="1" w:tplc="1C090019" w:tentative="1">
      <w:start w:val="1"/>
      <w:numFmt w:val="lowerLetter"/>
      <w:lvlText w:val="%2."/>
      <w:lvlJc w:val="left"/>
      <w:pPr>
        <w:ind w:left="3447" w:hanging="360"/>
      </w:pPr>
    </w:lvl>
    <w:lvl w:ilvl="2" w:tplc="1C09001B" w:tentative="1">
      <w:start w:val="1"/>
      <w:numFmt w:val="lowerRoman"/>
      <w:lvlText w:val="%3."/>
      <w:lvlJc w:val="right"/>
      <w:pPr>
        <w:ind w:left="4167" w:hanging="180"/>
      </w:pPr>
    </w:lvl>
    <w:lvl w:ilvl="3" w:tplc="1C09000F" w:tentative="1">
      <w:start w:val="1"/>
      <w:numFmt w:val="decimal"/>
      <w:lvlText w:val="%4."/>
      <w:lvlJc w:val="left"/>
      <w:pPr>
        <w:ind w:left="4887" w:hanging="360"/>
      </w:pPr>
    </w:lvl>
    <w:lvl w:ilvl="4" w:tplc="1C090019" w:tentative="1">
      <w:start w:val="1"/>
      <w:numFmt w:val="lowerLetter"/>
      <w:lvlText w:val="%5."/>
      <w:lvlJc w:val="left"/>
      <w:pPr>
        <w:ind w:left="5607" w:hanging="360"/>
      </w:pPr>
    </w:lvl>
    <w:lvl w:ilvl="5" w:tplc="1C09001B" w:tentative="1">
      <w:start w:val="1"/>
      <w:numFmt w:val="lowerRoman"/>
      <w:lvlText w:val="%6."/>
      <w:lvlJc w:val="right"/>
      <w:pPr>
        <w:ind w:left="6327" w:hanging="180"/>
      </w:pPr>
    </w:lvl>
    <w:lvl w:ilvl="6" w:tplc="1C09000F" w:tentative="1">
      <w:start w:val="1"/>
      <w:numFmt w:val="decimal"/>
      <w:lvlText w:val="%7."/>
      <w:lvlJc w:val="left"/>
      <w:pPr>
        <w:ind w:left="7047" w:hanging="360"/>
      </w:pPr>
    </w:lvl>
    <w:lvl w:ilvl="7" w:tplc="1C090019" w:tentative="1">
      <w:start w:val="1"/>
      <w:numFmt w:val="lowerLetter"/>
      <w:lvlText w:val="%8."/>
      <w:lvlJc w:val="left"/>
      <w:pPr>
        <w:ind w:left="7767" w:hanging="360"/>
      </w:pPr>
    </w:lvl>
    <w:lvl w:ilvl="8" w:tplc="1C09001B" w:tentative="1">
      <w:start w:val="1"/>
      <w:numFmt w:val="lowerRoman"/>
      <w:lvlText w:val="%9."/>
      <w:lvlJc w:val="right"/>
      <w:pPr>
        <w:ind w:left="8487" w:hanging="180"/>
      </w:pPr>
    </w:lvl>
  </w:abstractNum>
  <w:abstractNum w:abstractNumId="3" w15:restartNumberingAfterBreak="0">
    <w:nsid w:val="28BD09E9"/>
    <w:multiLevelType w:val="hybridMultilevel"/>
    <w:tmpl w:val="F82EA950"/>
    <w:lvl w:ilvl="0" w:tplc="0B9E24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155F7"/>
    <w:multiLevelType w:val="hybridMultilevel"/>
    <w:tmpl w:val="AB62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AB6927"/>
    <w:multiLevelType w:val="hybridMultilevel"/>
    <w:tmpl w:val="23A83C86"/>
    <w:lvl w:ilvl="0" w:tplc="BB0E9762">
      <w:start w:val="1"/>
      <w:numFmt w:val="lowerRoman"/>
      <w:lvlText w:val="(%1)"/>
      <w:lvlJc w:val="left"/>
      <w:pPr>
        <w:ind w:left="2258" w:hanging="720"/>
      </w:pPr>
      <w:rPr>
        <w:rFonts w:hint="default"/>
      </w:rPr>
    </w:lvl>
    <w:lvl w:ilvl="1" w:tplc="1C090019" w:tentative="1">
      <w:start w:val="1"/>
      <w:numFmt w:val="lowerLetter"/>
      <w:lvlText w:val="%2."/>
      <w:lvlJc w:val="left"/>
      <w:pPr>
        <w:ind w:left="2618" w:hanging="360"/>
      </w:pPr>
    </w:lvl>
    <w:lvl w:ilvl="2" w:tplc="1C09001B" w:tentative="1">
      <w:start w:val="1"/>
      <w:numFmt w:val="lowerRoman"/>
      <w:lvlText w:val="%3."/>
      <w:lvlJc w:val="right"/>
      <w:pPr>
        <w:ind w:left="3338" w:hanging="180"/>
      </w:pPr>
    </w:lvl>
    <w:lvl w:ilvl="3" w:tplc="1C09000F" w:tentative="1">
      <w:start w:val="1"/>
      <w:numFmt w:val="decimal"/>
      <w:lvlText w:val="%4."/>
      <w:lvlJc w:val="left"/>
      <w:pPr>
        <w:ind w:left="4058" w:hanging="360"/>
      </w:pPr>
    </w:lvl>
    <w:lvl w:ilvl="4" w:tplc="1C090019" w:tentative="1">
      <w:start w:val="1"/>
      <w:numFmt w:val="lowerLetter"/>
      <w:lvlText w:val="%5."/>
      <w:lvlJc w:val="left"/>
      <w:pPr>
        <w:ind w:left="4778" w:hanging="360"/>
      </w:pPr>
    </w:lvl>
    <w:lvl w:ilvl="5" w:tplc="1C09001B" w:tentative="1">
      <w:start w:val="1"/>
      <w:numFmt w:val="lowerRoman"/>
      <w:lvlText w:val="%6."/>
      <w:lvlJc w:val="right"/>
      <w:pPr>
        <w:ind w:left="5498" w:hanging="180"/>
      </w:pPr>
    </w:lvl>
    <w:lvl w:ilvl="6" w:tplc="1C09000F" w:tentative="1">
      <w:start w:val="1"/>
      <w:numFmt w:val="decimal"/>
      <w:lvlText w:val="%7."/>
      <w:lvlJc w:val="left"/>
      <w:pPr>
        <w:ind w:left="6218" w:hanging="360"/>
      </w:pPr>
    </w:lvl>
    <w:lvl w:ilvl="7" w:tplc="1C090019" w:tentative="1">
      <w:start w:val="1"/>
      <w:numFmt w:val="lowerLetter"/>
      <w:lvlText w:val="%8."/>
      <w:lvlJc w:val="left"/>
      <w:pPr>
        <w:ind w:left="6938" w:hanging="360"/>
      </w:pPr>
    </w:lvl>
    <w:lvl w:ilvl="8" w:tplc="1C09001B" w:tentative="1">
      <w:start w:val="1"/>
      <w:numFmt w:val="lowerRoman"/>
      <w:lvlText w:val="%9."/>
      <w:lvlJc w:val="right"/>
      <w:pPr>
        <w:ind w:left="7658" w:hanging="180"/>
      </w:pPr>
    </w:lvl>
  </w:abstractNum>
  <w:num w:numId="1">
    <w:abstractNumId w:val="6"/>
  </w:num>
  <w:num w:numId="2">
    <w:abstractNumId w:val="7"/>
  </w:num>
  <w:num w:numId="3">
    <w:abstractNumId w:val="4"/>
  </w:num>
  <w:num w:numId="4">
    <w:abstractNumId w:val="8"/>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0BEB"/>
    <w:rsid w:val="000054AE"/>
    <w:rsid w:val="00007859"/>
    <w:rsid w:val="00011016"/>
    <w:rsid w:val="00016A41"/>
    <w:rsid w:val="00020C04"/>
    <w:rsid w:val="00023BC3"/>
    <w:rsid w:val="00042E4A"/>
    <w:rsid w:val="00063E28"/>
    <w:rsid w:val="00064A3D"/>
    <w:rsid w:val="00072EBE"/>
    <w:rsid w:val="00074F28"/>
    <w:rsid w:val="000B5D30"/>
    <w:rsid w:val="000C2BEF"/>
    <w:rsid w:val="000C48D8"/>
    <w:rsid w:val="000E1B36"/>
    <w:rsid w:val="000F3167"/>
    <w:rsid w:val="000F3B14"/>
    <w:rsid w:val="000F477D"/>
    <w:rsid w:val="000F76A7"/>
    <w:rsid w:val="00131D32"/>
    <w:rsid w:val="001433AE"/>
    <w:rsid w:val="0014441E"/>
    <w:rsid w:val="0015727B"/>
    <w:rsid w:val="00193F0D"/>
    <w:rsid w:val="00197576"/>
    <w:rsid w:val="001A58A9"/>
    <w:rsid w:val="001B0917"/>
    <w:rsid w:val="001D4937"/>
    <w:rsid w:val="001D540F"/>
    <w:rsid w:val="001E3FB5"/>
    <w:rsid w:val="001E6902"/>
    <w:rsid w:val="001F4B50"/>
    <w:rsid w:val="00207912"/>
    <w:rsid w:val="0022502D"/>
    <w:rsid w:val="00236C35"/>
    <w:rsid w:val="00264C95"/>
    <w:rsid w:val="002855CE"/>
    <w:rsid w:val="002867DD"/>
    <w:rsid w:val="002A4157"/>
    <w:rsid w:val="002F6E86"/>
    <w:rsid w:val="00304578"/>
    <w:rsid w:val="00307402"/>
    <w:rsid w:val="0032312E"/>
    <w:rsid w:val="003421BD"/>
    <w:rsid w:val="00344553"/>
    <w:rsid w:val="00351BF5"/>
    <w:rsid w:val="003A3AED"/>
    <w:rsid w:val="003F3C43"/>
    <w:rsid w:val="0041235F"/>
    <w:rsid w:val="0043065E"/>
    <w:rsid w:val="00455CE1"/>
    <w:rsid w:val="0047127F"/>
    <w:rsid w:val="00472D86"/>
    <w:rsid w:val="00473745"/>
    <w:rsid w:val="004775DD"/>
    <w:rsid w:val="00485B2E"/>
    <w:rsid w:val="004A078E"/>
    <w:rsid w:val="004F43FB"/>
    <w:rsid w:val="005141B3"/>
    <w:rsid w:val="00532BB4"/>
    <w:rsid w:val="00533C35"/>
    <w:rsid w:val="005706F1"/>
    <w:rsid w:val="00571AFB"/>
    <w:rsid w:val="00574E19"/>
    <w:rsid w:val="005A25BC"/>
    <w:rsid w:val="005D0A53"/>
    <w:rsid w:val="00613FC6"/>
    <w:rsid w:val="006239F1"/>
    <w:rsid w:val="00624D20"/>
    <w:rsid w:val="0062770E"/>
    <w:rsid w:val="00630862"/>
    <w:rsid w:val="0064275F"/>
    <w:rsid w:val="00646E7C"/>
    <w:rsid w:val="00647EF2"/>
    <w:rsid w:val="00653A85"/>
    <w:rsid w:val="00674982"/>
    <w:rsid w:val="006824B2"/>
    <w:rsid w:val="00685058"/>
    <w:rsid w:val="00693A64"/>
    <w:rsid w:val="006B1830"/>
    <w:rsid w:val="006D1766"/>
    <w:rsid w:val="007118EA"/>
    <w:rsid w:val="00726A9C"/>
    <w:rsid w:val="007359BF"/>
    <w:rsid w:val="00743F26"/>
    <w:rsid w:val="007540E0"/>
    <w:rsid w:val="007663AF"/>
    <w:rsid w:val="0076668B"/>
    <w:rsid w:val="007749D9"/>
    <w:rsid w:val="00780F57"/>
    <w:rsid w:val="00791465"/>
    <w:rsid w:val="007914E0"/>
    <w:rsid w:val="007A32AF"/>
    <w:rsid w:val="007B1BA1"/>
    <w:rsid w:val="007D4060"/>
    <w:rsid w:val="007D40D2"/>
    <w:rsid w:val="007D66DE"/>
    <w:rsid w:val="007E56A2"/>
    <w:rsid w:val="007F197E"/>
    <w:rsid w:val="007F223D"/>
    <w:rsid w:val="00803AC4"/>
    <w:rsid w:val="00813FF0"/>
    <w:rsid w:val="00826932"/>
    <w:rsid w:val="008321A4"/>
    <w:rsid w:val="00840093"/>
    <w:rsid w:val="00852DC3"/>
    <w:rsid w:val="008665BB"/>
    <w:rsid w:val="00876CBB"/>
    <w:rsid w:val="00891265"/>
    <w:rsid w:val="008A3EAD"/>
    <w:rsid w:val="008B4E4F"/>
    <w:rsid w:val="008C2559"/>
    <w:rsid w:val="008E01C3"/>
    <w:rsid w:val="008E4142"/>
    <w:rsid w:val="008F1328"/>
    <w:rsid w:val="009021F5"/>
    <w:rsid w:val="00911717"/>
    <w:rsid w:val="009163A5"/>
    <w:rsid w:val="00953363"/>
    <w:rsid w:val="0096007E"/>
    <w:rsid w:val="009951EA"/>
    <w:rsid w:val="009958A3"/>
    <w:rsid w:val="009A18A7"/>
    <w:rsid w:val="009A3C71"/>
    <w:rsid w:val="009C69F6"/>
    <w:rsid w:val="009E1AB2"/>
    <w:rsid w:val="009F5D76"/>
    <w:rsid w:val="00A02200"/>
    <w:rsid w:val="00A11CD8"/>
    <w:rsid w:val="00A45FE5"/>
    <w:rsid w:val="00A525F0"/>
    <w:rsid w:val="00A566A2"/>
    <w:rsid w:val="00A5731A"/>
    <w:rsid w:val="00A677C3"/>
    <w:rsid w:val="00A72B9B"/>
    <w:rsid w:val="00A75CC1"/>
    <w:rsid w:val="00AA4ED9"/>
    <w:rsid w:val="00AC494C"/>
    <w:rsid w:val="00AD00CE"/>
    <w:rsid w:val="00AD5C9B"/>
    <w:rsid w:val="00AE07DE"/>
    <w:rsid w:val="00AF431D"/>
    <w:rsid w:val="00AF60CE"/>
    <w:rsid w:val="00B03AF4"/>
    <w:rsid w:val="00B03DD6"/>
    <w:rsid w:val="00B20E37"/>
    <w:rsid w:val="00B2276A"/>
    <w:rsid w:val="00B23547"/>
    <w:rsid w:val="00B35E0C"/>
    <w:rsid w:val="00B447E6"/>
    <w:rsid w:val="00B5649A"/>
    <w:rsid w:val="00B72D0B"/>
    <w:rsid w:val="00B77F67"/>
    <w:rsid w:val="00B913C7"/>
    <w:rsid w:val="00B95452"/>
    <w:rsid w:val="00BC3150"/>
    <w:rsid w:val="00BD31C6"/>
    <w:rsid w:val="00BF5863"/>
    <w:rsid w:val="00C02559"/>
    <w:rsid w:val="00C25C7E"/>
    <w:rsid w:val="00C312EA"/>
    <w:rsid w:val="00C44C35"/>
    <w:rsid w:val="00C472D6"/>
    <w:rsid w:val="00C60822"/>
    <w:rsid w:val="00C82101"/>
    <w:rsid w:val="00C84EC4"/>
    <w:rsid w:val="00CA38F9"/>
    <w:rsid w:val="00CB4FDB"/>
    <w:rsid w:val="00CB51AD"/>
    <w:rsid w:val="00CC2F3E"/>
    <w:rsid w:val="00D01E04"/>
    <w:rsid w:val="00D22E21"/>
    <w:rsid w:val="00D363B6"/>
    <w:rsid w:val="00D57C49"/>
    <w:rsid w:val="00D8139F"/>
    <w:rsid w:val="00DB2463"/>
    <w:rsid w:val="00DB6285"/>
    <w:rsid w:val="00DC769E"/>
    <w:rsid w:val="00DD5296"/>
    <w:rsid w:val="00DE122E"/>
    <w:rsid w:val="00DE76CB"/>
    <w:rsid w:val="00DF0D26"/>
    <w:rsid w:val="00E42AEE"/>
    <w:rsid w:val="00E45431"/>
    <w:rsid w:val="00E55071"/>
    <w:rsid w:val="00E60EE1"/>
    <w:rsid w:val="00E7384D"/>
    <w:rsid w:val="00E77DF6"/>
    <w:rsid w:val="00E8352B"/>
    <w:rsid w:val="00E9622E"/>
    <w:rsid w:val="00EA468F"/>
    <w:rsid w:val="00EA6A49"/>
    <w:rsid w:val="00EC384A"/>
    <w:rsid w:val="00EC4BF6"/>
    <w:rsid w:val="00EE0D46"/>
    <w:rsid w:val="00F03C60"/>
    <w:rsid w:val="00F246D2"/>
    <w:rsid w:val="00F51200"/>
    <w:rsid w:val="00F51C17"/>
    <w:rsid w:val="00F5571A"/>
    <w:rsid w:val="00F65949"/>
    <w:rsid w:val="00F754AB"/>
    <w:rsid w:val="00F87EA6"/>
    <w:rsid w:val="00F97528"/>
    <w:rsid w:val="00FA0A43"/>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35CED"/>
  <w15:docId w15:val="{3AD8DBAC-A138-4282-B671-7E462820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382">
      <w:bodyDiv w:val="1"/>
      <w:marLeft w:val="0"/>
      <w:marRight w:val="0"/>
      <w:marTop w:val="0"/>
      <w:marBottom w:val="0"/>
      <w:divBdr>
        <w:top w:val="none" w:sz="0" w:space="0" w:color="auto"/>
        <w:left w:val="none" w:sz="0" w:space="0" w:color="auto"/>
        <w:bottom w:val="none" w:sz="0" w:space="0" w:color="auto"/>
        <w:right w:val="none" w:sz="0" w:space="0" w:color="auto"/>
      </w:divBdr>
    </w:div>
    <w:div w:id="353965787">
      <w:bodyDiv w:val="1"/>
      <w:marLeft w:val="0"/>
      <w:marRight w:val="0"/>
      <w:marTop w:val="0"/>
      <w:marBottom w:val="0"/>
      <w:divBdr>
        <w:top w:val="none" w:sz="0" w:space="0" w:color="auto"/>
        <w:left w:val="none" w:sz="0" w:space="0" w:color="auto"/>
        <w:bottom w:val="none" w:sz="0" w:space="0" w:color="auto"/>
        <w:right w:val="none" w:sz="0" w:space="0" w:color="auto"/>
      </w:divBdr>
    </w:div>
    <w:div w:id="602609262">
      <w:bodyDiv w:val="1"/>
      <w:marLeft w:val="0"/>
      <w:marRight w:val="0"/>
      <w:marTop w:val="0"/>
      <w:marBottom w:val="0"/>
      <w:divBdr>
        <w:top w:val="none" w:sz="0" w:space="0" w:color="auto"/>
        <w:left w:val="none" w:sz="0" w:space="0" w:color="auto"/>
        <w:bottom w:val="none" w:sz="0" w:space="0" w:color="auto"/>
        <w:right w:val="none" w:sz="0" w:space="0" w:color="auto"/>
      </w:divBdr>
    </w:div>
    <w:div w:id="74399598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88939599">
      <w:bodyDiv w:val="1"/>
      <w:marLeft w:val="0"/>
      <w:marRight w:val="0"/>
      <w:marTop w:val="0"/>
      <w:marBottom w:val="0"/>
      <w:divBdr>
        <w:top w:val="none" w:sz="0" w:space="0" w:color="auto"/>
        <w:left w:val="none" w:sz="0" w:space="0" w:color="auto"/>
        <w:bottom w:val="none" w:sz="0" w:space="0" w:color="auto"/>
        <w:right w:val="none" w:sz="0" w:space="0" w:color="auto"/>
      </w:divBdr>
    </w:div>
    <w:div w:id="1882209882">
      <w:bodyDiv w:val="1"/>
      <w:marLeft w:val="0"/>
      <w:marRight w:val="0"/>
      <w:marTop w:val="0"/>
      <w:marBottom w:val="0"/>
      <w:divBdr>
        <w:top w:val="none" w:sz="0" w:space="0" w:color="auto"/>
        <w:left w:val="none" w:sz="0" w:space="0" w:color="auto"/>
        <w:bottom w:val="none" w:sz="0" w:space="0" w:color="auto"/>
        <w:right w:val="none" w:sz="0" w:space="0" w:color="auto"/>
      </w:divBdr>
    </w:div>
    <w:div w:id="20913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C775-732A-421C-95FF-CA9803DD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5</cp:revision>
  <cp:lastPrinted>2018-11-28T06:59:00Z</cp:lastPrinted>
  <dcterms:created xsi:type="dcterms:W3CDTF">2019-01-02T09:26:00Z</dcterms:created>
  <dcterms:modified xsi:type="dcterms:W3CDTF">2019-03-29T09:56:00Z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Adele.Haarhoff@Treasury.gov.za</vt:lpwstr>
  </property>
  <property fmtid="{D5CDD505-2E9C-101B-9397-08002B2CF9AE}" pid="5" name="MSIP_Label_93c4247e-447d-4732-af29-2e529a4288f1_SetDate">
    <vt:lpwstr>2018-11-28T06:57:04.6911798Z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