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B" w:rsidRDefault="00B65F3B" w:rsidP="00B65F3B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  <w:bookmarkStart w:id="0" w:name="_GoBack"/>
      <w:bookmarkEnd w:id="0"/>
    </w:p>
    <w:p w:rsidR="00B65F3B" w:rsidRDefault="00ED7CC0" w:rsidP="00B65F3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F3B" w:rsidRPr="00B65F3B" w:rsidRDefault="00B65F3B" w:rsidP="00B65F3B">
      <w:pPr>
        <w:jc w:val="center"/>
        <w:rPr>
          <w:rFonts w:ascii="Arial" w:hAnsi="Arial" w:cs="Arial"/>
          <w:b/>
          <w:lang w:val="en-ZA"/>
        </w:rPr>
      </w:pPr>
      <w:r w:rsidRPr="00B65F3B">
        <w:rPr>
          <w:rFonts w:ascii="Arial" w:hAnsi="Arial" w:cs="Arial"/>
          <w:b/>
          <w:lang w:val="en-ZA"/>
        </w:rPr>
        <w:t xml:space="preserve">MINISTRY  </w:t>
      </w:r>
    </w:p>
    <w:p w:rsidR="00B65F3B" w:rsidRPr="00B65F3B" w:rsidRDefault="00B65F3B" w:rsidP="00B65F3B">
      <w:pPr>
        <w:jc w:val="center"/>
        <w:rPr>
          <w:rFonts w:ascii="Arial" w:hAnsi="Arial" w:cs="Arial"/>
          <w:b/>
          <w:lang w:val="en-ZA"/>
        </w:rPr>
      </w:pPr>
      <w:r w:rsidRPr="00B65F3B">
        <w:rPr>
          <w:rFonts w:ascii="Arial" w:hAnsi="Arial" w:cs="Arial"/>
          <w:b/>
          <w:lang w:val="en-ZA"/>
        </w:rPr>
        <w:t>JUSTICE AND CORRECTIONAL SERVICES</w:t>
      </w:r>
    </w:p>
    <w:p w:rsidR="00B65F3B" w:rsidRPr="00B65F3B" w:rsidRDefault="00B65F3B" w:rsidP="00B65F3B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B65F3B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B65F3B" w:rsidRPr="00B65F3B" w:rsidRDefault="00B65F3B" w:rsidP="00B65F3B">
      <w:pPr>
        <w:pBdr>
          <w:bottom w:val="single" w:sz="4" w:space="1" w:color="auto"/>
        </w:pBdr>
        <w:ind w:left="540" w:hanging="540"/>
        <w:jc w:val="center"/>
        <w:rPr>
          <w:rFonts w:ascii="Arial" w:hAnsi="Arial" w:cs="Arial"/>
          <w:b/>
          <w:lang w:val="en-ZA"/>
        </w:rPr>
      </w:pPr>
    </w:p>
    <w:p w:rsidR="00B65F3B" w:rsidRPr="00B65F3B" w:rsidRDefault="00B65F3B" w:rsidP="00B65F3B">
      <w:pPr>
        <w:ind w:left="540" w:hanging="540"/>
        <w:rPr>
          <w:rFonts w:ascii="Arial" w:hAnsi="Arial" w:cs="Arial"/>
          <w:b/>
          <w:lang w:val="en-ZA"/>
        </w:rPr>
      </w:pPr>
    </w:p>
    <w:p w:rsidR="00130BDB" w:rsidRPr="008C0966" w:rsidRDefault="00130BDB" w:rsidP="00B65F3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B65F3B" w:rsidP="00B65F3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B65F3B" w:rsidP="00B65F3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B77BB">
        <w:rPr>
          <w:rFonts w:ascii="Arial" w:eastAsia="Calibri" w:hAnsi="Arial" w:cs="Arial"/>
          <w:b/>
          <w:bCs/>
          <w:lang w:val="en-GB"/>
        </w:rPr>
        <w:t>61</w:t>
      </w:r>
    </w:p>
    <w:p w:rsidR="00130BDB" w:rsidRPr="00B65F3B" w:rsidRDefault="00130BDB" w:rsidP="00B65F3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65F3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9351C" w:rsidRPr="00B65F3B">
        <w:rPr>
          <w:rFonts w:ascii="Arial" w:eastAsia="Calibri" w:hAnsi="Arial" w:cs="Arial"/>
          <w:b/>
          <w:bCs/>
          <w:lang w:val="en-GB"/>
        </w:rPr>
        <w:t>09</w:t>
      </w:r>
      <w:r w:rsidR="00B65F3B" w:rsidRPr="00B65F3B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B65F3B">
        <w:rPr>
          <w:rFonts w:ascii="Arial" w:eastAsia="Calibri" w:hAnsi="Arial" w:cs="Arial"/>
          <w:b/>
          <w:bCs/>
          <w:lang w:val="en-GB"/>
        </w:rPr>
        <w:t>20</w:t>
      </w:r>
      <w:r w:rsidR="003F2E8D" w:rsidRPr="00B65F3B">
        <w:rPr>
          <w:rFonts w:ascii="Arial" w:eastAsia="Calibri" w:hAnsi="Arial" w:cs="Arial"/>
          <w:b/>
          <w:bCs/>
          <w:lang w:val="en-GB"/>
        </w:rPr>
        <w:t>2</w:t>
      </w:r>
      <w:r w:rsidR="0089351C" w:rsidRPr="00B65F3B">
        <w:rPr>
          <w:rFonts w:ascii="Arial" w:eastAsia="Calibri" w:hAnsi="Arial" w:cs="Arial"/>
          <w:b/>
          <w:bCs/>
          <w:lang w:val="en-GB"/>
        </w:rPr>
        <w:t>3</w:t>
      </w:r>
    </w:p>
    <w:p w:rsidR="00B65F3B" w:rsidRPr="00B65F3B" w:rsidRDefault="00B65F3B" w:rsidP="00B65F3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65F3B">
        <w:rPr>
          <w:rFonts w:ascii="Arial" w:eastAsia="Calibri" w:hAnsi="Arial" w:cs="Arial"/>
          <w:b/>
          <w:bCs/>
          <w:lang w:val="en-GB"/>
        </w:rPr>
        <w:t>DATE OF SUBMISSION: 23 FEBRUARY 2023</w:t>
      </w:r>
    </w:p>
    <w:p w:rsidR="007B77BB" w:rsidRPr="007B77BB" w:rsidRDefault="007B77BB" w:rsidP="007B77BB">
      <w:pPr>
        <w:spacing w:before="120" w:after="120" w:line="360" w:lineRule="auto"/>
        <w:ind w:left="360"/>
        <w:jc w:val="both"/>
        <w:rPr>
          <w:rFonts w:ascii="Arial" w:hAnsi="Arial" w:cs="Arial"/>
          <w:b/>
          <w:bCs/>
          <w:lang w:val="en-ZA"/>
        </w:rPr>
      </w:pPr>
      <w:r w:rsidRPr="007B77BB">
        <w:rPr>
          <w:rFonts w:ascii="Arial" w:hAnsi="Arial" w:cs="Arial"/>
          <w:b/>
          <w:bCs/>
          <w:lang w:val="en-ZA"/>
        </w:rPr>
        <w:t>Adv G Breytenbach (DA) to ask the Minister of Justice and Correctional Services:</w:t>
      </w:r>
    </w:p>
    <w:p w:rsidR="007B77BB" w:rsidRPr="007B77BB" w:rsidRDefault="007B77BB" w:rsidP="007B77BB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7B77BB">
        <w:rPr>
          <w:rFonts w:ascii="Arial" w:hAnsi="Arial" w:cs="Arial"/>
          <w:lang w:val="en-ZA"/>
        </w:rPr>
        <w:t xml:space="preserve">What is the ratio of qualified interpreters (a) for each language and (b) in both (i) official and (ii) foreign capacity in each court in the Republic; </w:t>
      </w:r>
    </w:p>
    <w:p w:rsidR="007B77BB" w:rsidRPr="007B77BB" w:rsidRDefault="007B77BB" w:rsidP="007B77BB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7B77BB">
        <w:rPr>
          <w:rFonts w:ascii="Arial" w:hAnsi="Arial" w:cs="Arial"/>
          <w:lang w:val="en-ZA"/>
        </w:rPr>
        <w:t xml:space="preserve">hat total number of qualified sign language interpreters are currently available to courts in the Republic? </w:t>
      </w:r>
    </w:p>
    <w:p w:rsidR="00983C6B" w:rsidRPr="00B0043C" w:rsidRDefault="007B77BB" w:rsidP="0096277A">
      <w:pPr>
        <w:spacing w:before="120" w:after="120" w:line="360" w:lineRule="auto"/>
        <w:ind w:left="720"/>
        <w:jc w:val="both"/>
        <w:rPr>
          <w:rFonts w:ascii="Arial" w:hAnsi="Arial" w:cs="Arial"/>
          <w:lang w:val="en-ZA"/>
        </w:rPr>
      </w:pPr>
      <w:r w:rsidRPr="007B77BB">
        <w:rPr>
          <w:rFonts w:ascii="Arial" w:hAnsi="Arial" w:cs="Arial"/>
          <w:b/>
          <w:lang w:val="en-ZA"/>
        </w:rPr>
        <w:t>NW61E</w:t>
      </w:r>
      <w:r w:rsidR="00983C6B"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92406" w:rsidRDefault="00E92406" w:rsidP="00E92406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E92406" w:rsidRPr="008A3F60" w:rsidRDefault="00E92406" w:rsidP="00E9240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ind w:right="-14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The DOJ</w:t>
      </w:r>
      <w:r>
        <w:rPr>
          <w:rFonts w:ascii="Arial" w:hAnsi="Arial" w:cs="Arial"/>
          <w:sz w:val="22"/>
          <w:szCs w:val="22"/>
          <w:lang w:val="en-GB"/>
        </w:rPr>
        <w:t>&amp;CD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has a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otal of 2000 Court Interpreters at different levels and also </w:t>
      </w:r>
      <w:r>
        <w:rPr>
          <w:rFonts w:ascii="Arial" w:hAnsi="Arial" w:cs="Arial"/>
          <w:sz w:val="22"/>
          <w:szCs w:val="22"/>
          <w:lang w:val="en-GB"/>
        </w:rPr>
        <w:t>at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different Language  </w:t>
      </w:r>
      <w:r w:rsidRPr="008A3F60">
        <w:rPr>
          <w:rFonts w:ascii="Arial" w:hAnsi="Arial" w:cs="Arial"/>
          <w:sz w:val="22"/>
          <w:szCs w:val="22"/>
          <w:lang w:val="en-GB"/>
        </w:rPr>
        <w:t>proficiency levels. 65% of the total number has post matric qualifications, and the remainder of 35% still has Matric only, but are however being afforded various opportunities to up-skill themselves and be  professionalized through the on-going programs that are underway.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(a)(i)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95% of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he Court Interpreters in all the Courts are offering Interpretation with the Official Language of Record (English) and </w:t>
      </w:r>
      <w:r w:rsidR="00B65F3B">
        <w:rPr>
          <w:rFonts w:ascii="Arial" w:hAnsi="Arial" w:cs="Arial"/>
          <w:sz w:val="22"/>
          <w:szCs w:val="22"/>
          <w:lang w:val="en-GB"/>
        </w:rPr>
        <w:t xml:space="preserve">the </w:t>
      </w:r>
      <w:r w:rsidRPr="007C2B83">
        <w:rPr>
          <w:rFonts w:ascii="Arial" w:hAnsi="Arial" w:cs="Arial"/>
          <w:sz w:val="22"/>
          <w:szCs w:val="22"/>
          <w:lang w:val="en-GB"/>
        </w:rPr>
        <w:t>two Indigenous Languages of their respective Provinces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In </w:t>
      </w:r>
      <w:r w:rsidR="00B65F3B">
        <w:rPr>
          <w:rFonts w:ascii="Arial" w:hAnsi="Arial" w:cs="Arial"/>
          <w:sz w:val="22"/>
          <w:szCs w:val="22"/>
          <w:lang w:val="en-GB"/>
        </w:rPr>
        <w:t xml:space="preserve">one </w:t>
      </w:r>
      <w:r w:rsidRPr="007C2B83">
        <w:rPr>
          <w:rFonts w:ascii="Arial" w:hAnsi="Arial" w:cs="Arial"/>
          <w:sz w:val="22"/>
          <w:szCs w:val="22"/>
          <w:lang w:val="en-GB"/>
        </w:rPr>
        <w:t>particular instance</w:t>
      </w:r>
      <w:r>
        <w:rPr>
          <w:rFonts w:ascii="Arial" w:hAnsi="Arial" w:cs="Arial"/>
          <w:sz w:val="22"/>
          <w:szCs w:val="22"/>
          <w:lang w:val="en-GB"/>
        </w:rPr>
        <w:t>s,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it is required that the junior court interpreters of experience less than 5 years can be limited to the Lower courts, while Senior Court Interpreters and above ranks should be deployed to the Regional Courts.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(b)(ii)   </w:t>
      </w:r>
      <w:r w:rsidRPr="007C2B83">
        <w:rPr>
          <w:rFonts w:ascii="Arial" w:hAnsi="Arial" w:cs="Arial"/>
          <w:sz w:val="22"/>
          <w:szCs w:val="22"/>
          <w:lang w:val="en-GB"/>
        </w:rPr>
        <w:t>There are 36 Court Interpreters permanently employed by the DOJ</w:t>
      </w:r>
      <w:r>
        <w:rPr>
          <w:rFonts w:ascii="Arial" w:hAnsi="Arial" w:cs="Arial"/>
          <w:sz w:val="22"/>
          <w:szCs w:val="22"/>
          <w:lang w:val="en-GB"/>
        </w:rPr>
        <w:t>&amp;CD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who are offering foreign Languages Interpreting services.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They offer the following Languages: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(i)</w:t>
      </w:r>
      <w:r w:rsidRPr="007C2B83">
        <w:rPr>
          <w:rFonts w:ascii="Arial" w:hAnsi="Arial" w:cs="Arial"/>
          <w:sz w:val="22"/>
          <w:szCs w:val="22"/>
          <w:lang w:val="en-GB"/>
        </w:rPr>
        <w:tab/>
        <w:t>Shona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(ii)</w:t>
      </w:r>
      <w:r w:rsidRPr="007C2B83">
        <w:rPr>
          <w:rFonts w:ascii="Arial" w:hAnsi="Arial" w:cs="Arial"/>
          <w:sz w:val="22"/>
          <w:szCs w:val="22"/>
          <w:lang w:val="en-GB"/>
        </w:rPr>
        <w:tab/>
        <w:t>Nyanja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(iii)</w:t>
      </w:r>
      <w:r w:rsidRPr="007C2B83">
        <w:rPr>
          <w:rFonts w:ascii="Arial" w:hAnsi="Arial" w:cs="Arial"/>
          <w:sz w:val="22"/>
          <w:szCs w:val="22"/>
          <w:lang w:val="en-GB"/>
        </w:rPr>
        <w:tab/>
        <w:t>Chichewa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(iv)</w:t>
      </w:r>
      <w:r w:rsidRPr="007C2B83">
        <w:rPr>
          <w:rFonts w:ascii="Arial" w:hAnsi="Arial" w:cs="Arial"/>
          <w:sz w:val="22"/>
          <w:szCs w:val="22"/>
          <w:lang w:val="en-GB"/>
        </w:rPr>
        <w:tab/>
        <w:t>Kiswahili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(v)</w:t>
      </w:r>
      <w:r w:rsidRPr="007C2B83">
        <w:rPr>
          <w:rFonts w:ascii="Arial" w:hAnsi="Arial" w:cs="Arial"/>
          <w:sz w:val="22"/>
          <w:szCs w:val="22"/>
          <w:lang w:val="en-GB"/>
        </w:rPr>
        <w:tab/>
        <w:t>Zim</w:t>
      </w:r>
      <w:r>
        <w:rPr>
          <w:rFonts w:ascii="Arial" w:hAnsi="Arial" w:cs="Arial"/>
          <w:sz w:val="22"/>
          <w:szCs w:val="22"/>
          <w:lang w:val="en-GB"/>
        </w:rPr>
        <w:t>babwe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Ndebele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(vi)</w:t>
      </w:r>
      <w:r w:rsidRPr="007C2B83">
        <w:rPr>
          <w:rFonts w:ascii="Arial" w:hAnsi="Arial" w:cs="Arial"/>
          <w:sz w:val="22"/>
          <w:szCs w:val="22"/>
          <w:lang w:val="en-GB"/>
        </w:rPr>
        <w:tab/>
        <w:t>Mozambican Shangaan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(vii)</w:t>
      </w:r>
      <w:r w:rsidRPr="007C2B83">
        <w:rPr>
          <w:rFonts w:ascii="Arial" w:hAnsi="Arial" w:cs="Arial"/>
          <w:sz w:val="22"/>
          <w:szCs w:val="22"/>
          <w:lang w:val="en-GB"/>
        </w:rPr>
        <w:tab/>
        <w:t>Portuguese</w:t>
      </w:r>
      <w:r>
        <w:rPr>
          <w:rFonts w:ascii="Arial" w:hAnsi="Arial" w:cs="Arial"/>
          <w:sz w:val="22"/>
          <w:szCs w:val="22"/>
          <w:lang w:val="en-GB"/>
        </w:rPr>
        <w:t>; and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 w:rsidRPr="007C2B83">
        <w:rPr>
          <w:rFonts w:ascii="Arial" w:hAnsi="Arial" w:cs="Arial"/>
          <w:sz w:val="22"/>
          <w:szCs w:val="22"/>
          <w:lang w:val="en-GB"/>
        </w:rPr>
        <w:t>(viii)</w:t>
      </w:r>
      <w:r w:rsidRPr="007C2B83">
        <w:rPr>
          <w:rFonts w:ascii="Arial" w:hAnsi="Arial" w:cs="Arial"/>
          <w:sz w:val="22"/>
          <w:szCs w:val="22"/>
          <w:lang w:val="en-GB"/>
        </w:rPr>
        <w:tab/>
        <w:t>Isindau</w:t>
      </w:r>
    </w:p>
    <w:p w:rsidR="00E92406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(c)   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Over and above </w:t>
      </w:r>
      <w:r>
        <w:rPr>
          <w:rFonts w:ascii="Arial" w:hAnsi="Arial" w:cs="Arial"/>
          <w:sz w:val="22"/>
          <w:szCs w:val="22"/>
          <w:lang w:val="en-GB"/>
        </w:rPr>
        <w:t xml:space="preserve">the above, </w:t>
      </w:r>
      <w:r w:rsidRPr="007C2B83">
        <w:rPr>
          <w:rFonts w:ascii="Arial" w:hAnsi="Arial" w:cs="Arial"/>
          <w:sz w:val="22"/>
          <w:szCs w:val="22"/>
          <w:lang w:val="en-GB"/>
        </w:rPr>
        <w:t>there are over 250 casual Foreign Language Interpreters on the Do</w:t>
      </w:r>
      <w:r>
        <w:rPr>
          <w:rFonts w:ascii="Arial" w:hAnsi="Arial" w:cs="Arial"/>
          <w:sz w:val="22"/>
          <w:szCs w:val="22"/>
          <w:lang w:val="en-GB"/>
        </w:rPr>
        <w:t>J&amp;CD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Central database which can be easily accessed from the departmental Intranet.</w:t>
      </w:r>
    </w:p>
    <w:p w:rsidR="00E92406" w:rsidRPr="007C2B83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(d) </w:t>
      </w:r>
      <w:r w:rsidRPr="007C2B83">
        <w:rPr>
          <w:rFonts w:ascii="Arial" w:hAnsi="Arial" w:cs="Arial"/>
          <w:sz w:val="22"/>
          <w:szCs w:val="22"/>
          <w:lang w:val="en-GB"/>
        </w:rPr>
        <w:t>There are also 6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C2B83">
        <w:rPr>
          <w:rFonts w:ascii="Arial" w:hAnsi="Arial" w:cs="Arial"/>
          <w:sz w:val="22"/>
          <w:szCs w:val="22"/>
          <w:lang w:val="en-GB"/>
        </w:rPr>
        <w:t>Service Providers who are offering Foreign Language Service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with sufficient capacity to meet the Do</w:t>
      </w:r>
      <w:r>
        <w:rPr>
          <w:rFonts w:ascii="Arial" w:hAnsi="Arial" w:cs="Arial"/>
          <w:sz w:val="22"/>
          <w:szCs w:val="22"/>
          <w:lang w:val="en-GB"/>
        </w:rPr>
        <w:t>J&amp;CD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demand for the service.</w:t>
      </w:r>
    </w:p>
    <w:p w:rsidR="00E92406" w:rsidRDefault="00E92406" w:rsidP="00E92406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(e)   </w:t>
      </w:r>
      <w:r w:rsidRPr="007C2B83">
        <w:rPr>
          <w:rFonts w:ascii="Arial" w:hAnsi="Arial" w:cs="Arial"/>
          <w:sz w:val="22"/>
          <w:szCs w:val="22"/>
          <w:lang w:val="en-GB"/>
        </w:rPr>
        <w:t>This therefore puts the Do</w:t>
      </w:r>
      <w:r>
        <w:rPr>
          <w:rFonts w:ascii="Arial" w:hAnsi="Arial" w:cs="Arial"/>
          <w:sz w:val="22"/>
          <w:szCs w:val="22"/>
          <w:lang w:val="en-GB"/>
        </w:rPr>
        <w:t>J&amp;CD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in a better position to deal with the challenge brought about by the current influx of foreign nationals in the country and in our courts.</w:t>
      </w:r>
    </w:p>
    <w:p w:rsidR="00E92406" w:rsidRDefault="00E92406" w:rsidP="00E92406">
      <w:pPr>
        <w:spacing w:after="120" w:line="360" w:lineRule="auto"/>
        <w:ind w:right="-147"/>
        <w:jc w:val="both"/>
        <w:rPr>
          <w:rFonts w:ascii="Arial" w:hAnsi="Arial" w:cs="Arial"/>
          <w:sz w:val="22"/>
          <w:szCs w:val="22"/>
          <w:lang w:val="en-GB"/>
        </w:rPr>
      </w:pPr>
    </w:p>
    <w:p w:rsidR="00E92406" w:rsidRDefault="00E92406" w:rsidP="0096277A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2.  (a)  </w:t>
      </w:r>
      <w:r w:rsidRPr="007C2B83">
        <w:rPr>
          <w:rFonts w:ascii="Arial" w:hAnsi="Arial" w:cs="Arial"/>
          <w:sz w:val="22"/>
          <w:szCs w:val="22"/>
          <w:lang w:val="en-GB"/>
        </w:rPr>
        <w:t>There are currently 11 qualifi</w:t>
      </w:r>
      <w:r>
        <w:rPr>
          <w:rFonts w:ascii="Arial" w:hAnsi="Arial" w:cs="Arial"/>
          <w:sz w:val="22"/>
          <w:szCs w:val="22"/>
          <w:lang w:val="en-GB"/>
        </w:rPr>
        <w:t>ed South African Sign Language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Interpreters, who are </w:t>
      </w:r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permanently </w:t>
      </w:r>
      <w:r>
        <w:rPr>
          <w:rFonts w:ascii="Arial" w:hAnsi="Arial" w:cs="Arial"/>
          <w:sz w:val="22"/>
          <w:szCs w:val="22"/>
          <w:lang w:val="en-GB"/>
        </w:rPr>
        <w:t xml:space="preserve"> employed by the DoJ&amp;CD. </w:t>
      </w:r>
    </w:p>
    <w:p w:rsidR="00E92406" w:rsidRPr="007C2B83" w:rsidRDefault="00E92406" w:rsidP="0096277A">
      <w:pPr>
        <w:spacing w:after="120" w:line="360" w:lineRule="auto"/>
        <w:ind w:left="720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(b)   </w:t>
      </w:r>
      <w:r w:rsidRPr="007C2B83">
        <w:rPr>
          <w:rFonts w:ascii="Arial" w:hAnsi="Arial" w:cs="Arial"/>
          <w:sz w:val="22"/>
          <w:szCs w:val="22"/>
          <w:lang w:val="en-GB"/>
        </w:rPr>
        <w:t>Over and above that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there are several </w:t>
      </w:r>
      <w:r>
        <w:rPr>
          <w:rFonts w:ascii="Arial" w:hAnsi="Arial" w:cs="Arial"/>
          <w:sz w:val="22"/>
          <w:szCs w:val="22"/>
          <w:lang w:val="en-GB"/>
        </w:rPr>
        <w:t xml:space="preserve">legal entities on the central </w:t>
      </w:r>
      <w:r w:rsidRPr="007C2B83">
        <w:rPr>
          <w:rFonts w:ascii="Arial" w:hAnsi="Arial" w:cs="Arial"/>
          <w:sz w:val="22"/>
          <w:szCs w:val="22"/>
          <w:lang w:val="en-GB"/>
        </w:rPr>
        <w:t>Database of the Do</w:t>
      </w:r>
      <w:r>
        <w:rPr>
          <w:rFonts w:ascii="Arial" w:hAnsi="Arial" w:cs="Arial"/>
          <w:sz w:val="22"/>
          <w:szCs w:val="22"/>
          <w:lang w:val="en-GB"/>
        </w:rPr>
        <w:t xml:space="preserve">J&amp;CD,   </w:t>
      </w:r>
      <w:r w:rsidRPr="007C2B83">
        <w:rPr>
          <w:rFonts w:ascii="Arial" w:hAnsi="Arial" w:cs="Arial"/>
          <w:sz w:val="22"/>
          <w:szCs w:val="22"/>
          <w:lang w:val="en-GB"/>
        </w:rPr>
        <w:t>who offer SASL Interpreting.</w:t>
      </w:r>
    </w:p>
    <w:p w:rsidR="00E92406" w:rsidRPr="007C2B83" w:rsidRDefault="00E92406" w:rsidP="0096277A">
      <w:pPr>
        <w:spacing w:after="120" w:line="360" w:lineRule="auto"/>
        <w:ind w:left="709" w:right="-1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(c)   </w:t>
      </w:r>
      <w:r w:rsidRPr="007C2B83">
        <w:rPr>
          <w:rFonts w:ascii="Arial" w:hAnsi="Arial" w:cs="Arial"/>
          <w:sz w:val="22"/>
          <w:szCs w:val="22"/>
          <w:lang w:val="en-GB"/>
        </w:rPr>
        <w:t>The imminent promulgation</w:t>
      </w:r>
      <w:r>
        <w:rPr>
          <w:rFonts w:ascii="Arial" w:hAnsi="Arial" w:cs="Arial"/>
          <w:sz w:val="22"/>
          <w:szCs w:val="22"/>
          <w:lang w:val="en-GB"/>
        </w:rPr>
        <w:t xml:space="preserve"> of SASL as the 12th Official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Language, has urged the Do</w:t>
      </w:r>
      <w:r>
        <w:rPr>
          <w:rFonts w:ascii="Arial" w:hAnsi="Arial" w:cs="Arial"/>
          <w:sz w:val="22"/>
          <w:szCs w:val="22"/>
          <w:lang w:val="en-GB"/>
        </w:rPr>
        <w:t>J&amp;CD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to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embark </w:t>
      </w:r>
      <w:r>
        <w:rPr>
          <w:rFonts w:ascii="Arial" w:hAnsi="Arial" w:cs="Arial"/>
          <w:sz w:val="22"/>
          <w:szCs w:val="22"/>
          <w:lang w:val="en-GB"/>
        </w:rPr>
        <w:t>on the reskilling the c</w:t>
      </w:r>
      <w:r w:rsidRPr="007C2B83">
        <w:rPr>
          <w:rFonts w:ascii="Arial" w:hAnsi="Arial" w:cs="Arial"/>
          <w:sz w:val="22"/>
          <w:szCs w:val="22"/>
          <w:lang w:val="en-GB"/>
        </w:rPr>
        <w:t>urrent crop of Court Interprete</w:t>
      </w:r>
      <w:r>
        <w:rPr>
          <w:rFonts w:ascii="Arial" w:hAnsi="Arial" w:cs="Arial"/>
          <w:sz w:val="22"/>
          <w:szCs w:val="22"/>
          <w:lang w:val="en-GB"/>
        </w:rPr>
        <w:t>rs in SASL, and the DOJ&amp;CD HRD has put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aside </w:t>
      </w:r>
      <w:r>
        <w:rPr>
          <w:rFonts w:ascii="Arial" w:hAnsi="Arial" w:cs="Arial"/>
          <w:sz w:val="22"/>
          <w:szCs w:val="22"/>
          <w:lang w:val="en-GB"/>
        </w:rPr>
        <w:t xml:space="preserve">funds for the SASL </w:t>
      </w:r>
      <w:r w:rsidRPr="007C2B83">
        <w:rPr>
          <w:rFonts w:ascii="Arial" w:hAnsi="Arial" w:cs="Arial"/>
          <w:sz w:val="22"/>
          <w:szCs w:val="22"/>
          <w:lang w:val="en-GB"/>
        </w:rPr>
        <w:t>Traini</w:t>
      </w:r>
      <w:r>
        <w:rPr>
          <w:rFonts w:ascii="Arial" w:hAnsi="Arial" w:cs="Arial"/>
          <w:sz w:val="22"/>
          <w:szCs w:val="22"/>
          <w:lang w:val="en-GB"/>
        </w:rPr>
        <w:t>ng as part of the 2023/2024</w:t>
      </w:r>
      <w:r w:rsidRPr="007C2B83">
        <w:rPr>
          <w:rFonts w:ascii="Arial" w:hAnsi="Arial" w:cs="Arial"/>
          <w:sz w:val="22"/>
          <w:szCs w:val="22"/>
          <w:lang w:val="en-GB"/>
        </w:rPr>
        <w:t xml:space="preserve"> programs.</w:t>
      </w:r>
    </w:p>
    <w:p w:rsidR="00E92406" w:rsidRDefault="00E92406" w:rsidP="00E92406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0A" w:rsidRDefault="00323B0A" w:rsidP="00913892">
      <w:r>
        <w:separator/>
      </w:r>
    </w:p>
  </w:endnote>
  <w:endnote w:type="continuationSeparator" w:id="0">
    <w:p w:rsidR="00323B0A" w:rsidRDefault="00323B0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76B8E">
    <w:pPr>
      <w:pStyle w:val="Footer"/>
      <w:pBdr>
        <w:top w:val="single" w:sz="4" w:space="1" w:color="D9D9D9"/>
      </w:pBdr>
      <w:rPr>
        <w:b/>
        <w:bCs/>
      </w:rPr>
    </w:pPr>
    <w:r w:rsidRPr="00576B8E">
      <w:fldChar w:fldCharType="begin"/>
    </w:r>
    <w:r w:rsidR="0054211D">
      <w:instrText xml:space="preserve"> PAGE   \* MERGEFORMAT </w:instrText>
    </w:r>
    <w:r w:rsidRPr="00576B8E">
      <w:fldChar w:fldCharType="separate"/>
    </w:r>
    <w:r w:rsidR="00323B0A" w:rsidRPr="00323B0A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0A" w:rsidRDefault="00323B0A" w:rsidP="00913892">
      <w:r>
        <w:separator/>
      </w:r>
    </w:p>
  </w:footnote>
  <w:footnote w:type="continuationSeparator" w:id="0">
    <w:p w:rsidR="00323B0A" w:rsidRDefault="00323B0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3178"/>
    <w:multiLevelType w:val="hybridMultilevel"/>
    <w:tmpl w:val="6520E846"/>
    <w:lvl w:ilvl="0" w:tplc="1966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EE97D4C"/>
    <w:multiLevelType w:val="hybridMultilevel"/>
    <w:tmpl w:val="0E12354A"/>
    <w:lvl w:ilvl="0" w:tplc="B922C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8C0917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E070A6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6"/>
  </w:num>
  <w:num w:numId="5">
    <w:abstractNumId w:val="33"/>
  </w:num>
  <w:num w:numId="6">
    <w:abstractNumId w:val="3"/>
  </w:num>
  <w:num w:numId="7">
    <w:abstractNumId w:val="39"/>
  </w:num>
  <w:num w:numId="8">
    <w:abstractNumId w:val="12"/>
  </w:num>
  <w:num w:numId="9">
    <w:abstractNumId w:val="20"/>
  </w:num>
  <w:num w:numId="10">
    <w:abstractNumId w:val="34"/>
  </w:num>
  <w:num w:numId="11">
    <w:abstractNumId w:val="2"/>
  </w:num>
  <w:num w:numId="12">
    <w:abstractNumId w:val="24"/>
  </w:num>
  <w:num w:numId="13">
    <w:abstractNumId w:val="17"/>
  </w:num>
  <w:num w:numId="14">
    <w:abstractNumId w:val="21"/>
  </w:num>
  <w:num w:numId="15">
    <w:abstractNumId w:val="10"/>
  </w:num>
  <w:num w:numId="16">
    <w:abstractNumId w:val="19"/>
  </w:num>
  <w:num w:numId="17">
    <w:abstractNumId w:val="37"/>
  </w:num>
  <w:num w:numId="18">
    <w:abstractNumId w:val="25"/>
  </w:num>
  <w:num w:numId="19">
    <w:abstractNumId w:val="23"/>
  </w:num>
  <w:num w:numId="20">
    <w:abstractNumId w:val="36"/>
  </w:num>
  <w:num w:numId="21">
    <w:abstractNumId w:val="30"/>
  </w:num>
  <w:num w:numId="22">
    <w:abstractNumId w:val="31"/>
  </w:num>
  <w:num w:numId="23">
    <w:abstractNumId w:val="9"/>
  </w:num>
  <w:num w:numId="24">
    <w:abstractNumId w:val="32"/>
  </w:num>
  <w:num w:numId="25">
    <w:abstractNumId w:val="5"/>
  </w:num>
  <w:num w:numId="26">
    <w:abstractNumId w:val="7"/>
  </w:num>
  <w:num w:numId="27">
    <w:abstractNumId w:val="29"/>
  </w:num>
  <w:num w:numId="28">
    <w:abstractNumId w:val="38"/>
  </w:num>
  <w:num w:numId="29">
    <w:abstractNumId w:val="6"/>
  </w:num>
  <w:num w:numId="30">
    <w:abstractNumId w:val="14"/>
  </w:num>
  <w:num w:numId="31">
    <w:abstractNumId w:val="1"/>
  </w:num>
  <w:num w:numId="32">
    <w:abstractNumId w:val="15"/>
  </w:num>
  <w:num w:numId="33">
    <w:abstractNumId w:val="22"/>
  </w:num>
  <w:num w:numId="34">
    <w:abstractNumId w:val="35"/>
  </w:num>
  <w:num w:numId="35">
    <w:abstractNumId w:val="40"/>
  </w:num>
  <w:num w:numId="36">
    <w:abstractNumId w:val="28"/>
  </w:num>
  <w:num w:numId="37">
    <w:abstractNumId w:val="18"/>
  </w:num>
  <w:num w:numId="38">
    <w:abstractNumId w:val="27"/>
  </w:num>
  <w:num w:numId="39">
    <w:abstractNumId w:val="8"/>
  </w:num>
  <w:num w:numId="40">
    <w:abstractNumId w:val="13"/>
  </w:num>
  <w:num w:numId="4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05A5"/>
    <w:rsid w:val="00026EC0"/>
    <w:rsid w:val="00030927"/>
    <w:rsid w:val="0004105D"/>
    <w:rsid w:val="0004190C"/>
    <w:rsid w:val="00046588"/>
    <w:rsid w:val="00052CE2"/>
    <w:rsid w:val="00057047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1574"/>
    <w:rsid w:val="002857B6"/>
    <w:rsid w:val="00286311"/>
    <w:rsid w:val="00291065"/>
    <w:rsid w:val="00295084"/>
    <w:rsid w:val="002A0DB1"/>
    <w:rsid w:val="002B2B31"/>
    <w:rsid w:val="002B6D18"/>
    <w:rsid w:val="002C398C"/>
    <w:rsid w:val="002C719B"/>
    <w:rsid w:val="002D5BF7"/>
    <w:rsid w:val="002D7BBD"/>
    <w:rsid w:val="002E1C99"/>
    <w:rsid w:val="002E7253"/>
    <w:rsid w:val="002F209D"/>
    <w:rsid w:val="002F22DD"/>
    <w:rsid w:val="0031652F"/>
    <w:rsid w:val="00322BA4"/>
    <w:rsid w:val="00323B0A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5B2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6B8E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7BB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6277A"/>
    <w:rsid w:val="0096781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2F8E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2720"/>
    <w:rsid w:val="00B553A6"/>
    <w:rsid w:val="00B65F3B"/>
    <w:rsid w:val="00B8345D"/>
    <w:rsid w:val="00B958BA"/>
    <w:rsid w:val="00BA3361"/>
    <w:rsid w:val="00BA3A67"/>
    <w:rsid w:val="00BA61AF"/>
    <w:rsid w:val="00BB0DE9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92406"/>
    <w:rsid w:val="00EA4D5C"/>
    <w:rsid w:val="00EA53D2"/>
    <w:rsid w:val="00EA7A64"/>
    <w:rsid w:val="00EB54FA"/>
    <w:rsid w:val="00EB5C9A"/>
    <w:rsid w:val="00EC5379"/>
    <w:rsid w:val="00ED072E"/>
    <w:rsid w:val="00ED5CF6"/>
    <w:rsid w:val="00ED7CC0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0F57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"/>
    <w:basedOn w:val="Normal"/>
    <w:link w:val="ListParagraphChar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heading 2 Char"/>
    <w:link w:val="ListParagraph"/>
    <w:uiPriority w:val="34"/>
    <w:locked/>
    <w:rsid w:val="00E924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2023-02-21T08:32:00Z</cp:lastPrinted>
  <dcterms:created xsi:type="dcterms:W3CDTF">2023-03-29T09:32:00Z</dcterms:created>
  <dcterms:modified xsi:type="dcterms:W3CDTF">2023-03-29T09:32:00Z</dcterms:modified>
</cp:coreProperties>
</file>