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6" w:rsidRDefault="00FC21CA" w:rsidP="00FC21CA">
      <w:pPr>
        <w:jc w:val="center"/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inline distT="0" distB="0" distL="0" distR="0" wp14:anchorId="71D2BBC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NATIONAL ASSEMBLY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QUESTION FOR WRITTEN REPLY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QUESTION NUMBER: 589 [NW647E]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DATE OF PUBLICATION: 17 MARCH 2017</w:t>
      </w:r>
    </w:p>
    <w:p w:rsidR="00246D36" w:rsidRDefault="00246D36">
      <w:pPr>
        <w:pStyle w:val="Body"/>
        <w:spacing w:before="100" w:after="100" w:line="276" w:lineRule="auto"/>
        <w:ind w:left="720" w:hanging="720"/>
        <w:jc w:val="both"/>
        <w:rPr>
          <w:rFonts w:ascii="Arial" w:hAnsi="Arial"/>
          <w:b/>
          <w:bCs/>
          <w:sz w:val="22"/>
          <w:szCs w:val="22"/>
        </w:rPr>
      </w:pPr>
    </w:p>
    <w:p w:rsidR="005F3F4A" w:rsidRDefault="00376B58">
      <w:pPr>
        <w:pStyle w:val="Body"/>
        <w:spacing w:before="100" w:after="100" w:line="276" w:lineRule="auto"/>
        <w:ind w:left="72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589.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Mr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 J </w:t>
      </w:r>
      <w:proofErr w:type="spellStart"/>
      <w:r>
        <w:rPr>
          <w:rFonts w:ascii="Arial" w:hAnsi="Arial"/>
          <w:b/>
          <w:bCs/>
          <w:sz w:val="22"/>
          <w:szCs w:val="22"/>
        </w:rPr>
        <w:t>Maynier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(DA) to ask the Minister of Finance:</w:t>
      </w:r>
    </w:p>
    <w:p w:rsidR="005F3F4A" w:rsidRPr="00FC5E3B" w:rsidRDefault="00376B58" w:rsidP="00FC5E3B">
      <w:pPr>
        <w:pStyle w:val="Body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>Whether he has found that any persons, families and/or associates of persons and/or families were trying, through the purchase of shares, to exert undue influence on the SA Reserve Bank (SARB); if not, (a) what is the position in this regard and (b) why did the Governor of the SA Reserve Bank claim that this was the case on 2 March 2017; if so, what are the names of each (i) person, (ii) family member and/or (iii) associate of the specified persons and/or families who were trying to exert undue influence on the SARB?</w:t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</w:p>
    <w:p w:rsidR="005F3F4A" w:rsidRPr="00FC5E3B" w:rsidRDefault="00376B58" w:rsidP="00FC5E3B">
      <w:pPr>
        <w:pStyle w:val="Body"/>
        <w:ind w:left="720"/>
        <w:contextualSpacing/>
        <w:jc w:val="right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eastAsia="Arial" w:hAnsi="Arial" w:cs="Arial"/>
          <w:sz w:val="22"/>
          <w:szCs w:val="22"/>
        </w:rPr>
        <w:tab/>
      </w:r>
      <w:r w:rsidRPr="00FC5E3B">
        <w:rPr>
          <w:rFonts w:ascii="Arial" w:hAnsi="Arial"/>
          <w:sz w:val="22"/>
          <w:szCs w:val="22"/>
        </w:rPr>
        <w:t>NW647E</w:t>
      </w:r>
    </w:p>
    <w:p w:rsidR="00FC5E3B" w:rsidRDefault="00FC5E3B" w:rsidP="00FC5E3B">
      <w:pPr>
        <w:pStyle w:val="BodyTextIndent"/>
        <w:spacing w:line="240" w:lineRule="auto"/>
        <w:ind w:left="0" w:firstLine="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/>
      </w:r>
    </w:p>
    <w:p w:rsidR="005F3F4A" w:rsidRPr="00FC5E3B" w:rsidRDefault="00FC5E3B" w:rsidP="00FC5E3B">
      <w:pPr>
        <w:pStyle w:val="BodyTextIndent"/>
        <w:spacing w:line="240" w:lineRule="auto"/>
        <w:ind w:left="0" w:firstLine="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</w:t>
      </w:r>
      <w:r w:rsidR="00376B58" w:rsidRPr="00FC5E3B">
        <w:rPr>
          <w:rFonts w:ascii="Arial" w:hAnsi="Arial"/>
          <w:b/>
          <w:bCs/>
          <w:sz w:val="22"/>
          <w:szCs w:val="22"/>
        </w:rPr>
        <w:t>EPLY:</w:t>
      </w: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Pr="00FC5E3B" w:rsidRDefault="00376B58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>No. Currently the provisions of the South African Reserve Bank Act, 1989 (Act No. 90 of 1989 – “SARB Act”), as amended by the South African Reserve Bank Amendment Act , 2010 (Act No. 4 of 2010 – “SARB Amendment Act), effectively rule out the possibility of anyone, through the accumulation of shares, exerting undue influence on the South African Reserve Bank (“SARB”).</w:t>
      </w: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Pr="00FC5E3B" w:rsidRDefault="00376B58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>The Board of the SARB (“Board”) is a supervisory board and is strictly responsible for the corporate governance of the institution and not its day-to</w:t>
      </w:r>
      <w:r w:rsidR="00246D36" w:rsidRPr="00FC5E3B">
        <w:rPr>
          <w:rFonts w:ascii="Arial" w:hAnsi="Arial"/>
          <w:sz w:val="22"/>
          <w:szCs w:val="22"/>
        </w:rPr>
        <w:t>-</w:t>
      </w:r>
      <w:r w:rsidRPr="00FC5E3B">
        <w:rPr>
          <w:rFonts w:ascii="Arial" w:hAnsi="Arial"/>
          <w:sz w:val="22"/>
          <w:szCs w:val="22"/>
        </w:rPr>
        <w:t>day management.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Pr="00FC5E3B">
        <w:rPr>
          <w:rFonts w:ascii="Arial" w:hAnsi="Arial"/>
          <w:sz w:val="22"/>
          <w:szCs w:val="22"/>
        </w:rPr>
        <w:t>The Governors are vested with original powers of management and are responsible for the day-to-day management of the SARB, which includes monetary policy, bank supervision, financial stability and the payment system.</w:t>
      </w: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Pr="00FC5E3B" w:rsidRDefault="00246D36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 xml:space="preserve">Previously, in the period before the SARB </w:t>
      </w:r>
      <w:r w:rsidR="00FC5E3B" w:rsidRPr="00FC5E3B">
        <w:rPr>
          <w:rFonts w:ascii="Arial" w:hAnsi="Arial"/>
          <w:sz w:val="22"/>
          <w:szCs w:val="22"/>
        </w:rPr>
        <w:t>A</w:t>
      </w:r>
      <w:r w:rsidRPr="00FC5E3B">
        <w:rPr>
          <w:rFonts w:ascii="Arial" w:hAnsi="Arial"/>
          <w:sz w:val="22"/>
          <w:szCs w:val="22"/>
        </w:rPr>
        <w:t>ct was amended in 2010</w:t>
      </w:r>
      <w:r w:rsidR="00FC5E3B" w:rsidRPr="00FC5E3B">
        <w:rPr>
          <w:rFonts w:ascii="Arial" w:hAnsi="Arial"/>
          <w:sz w:val="22"/>
          <w:szCs w:val="22"/>
        </w:rPr>
        <w:t xml:space="preserve"> </w:t>
      </w:r>
      <w:r w:rsidRPr="00FC5E3B">
        <w:rPr>
          <w:rFonts w:ascii="Arial" w:hAnsi="Arial"/>
          <w:sz w:val="22"/>
          <w:szCs w:val="22"/>
        </w:rPr>
        <w:t xml:space="preserve">there was an </w:t>
      </w:r>
      <w:r w:rsidR="00376B58" w:rsidRPr="00FC5E3B">
        <w:rPr>
          <w:rFonts w:ascii="Arial" w:hAnsi="Arial"/>
          <w:sz w:val="22"/>
          <w:szCs w:val="22"/>
        </w:rPr>
        <w:t>absence of adequate preventative measures</w:t>
      </w:r>
      <w:r w:rsidR="00FC5E3B" w:rsidRPr="00FC5E3B">
        <w:rPr>
          <w:rFonts w:ascii="Arial" w:hAnsi="Arial"/>
          <w:sz w:val="22"/>
          <w:szCs w:val="22"/>
        </w:rPr>
        <w:t xml:space="preserve">, </w:t>
      </w:r>
      <w:r w:rsidR="00376B58" w:rsidRPr="00FC5E3B">
        <w:rPr>
          <w:rFonts w:ascii="Arial" w:hAnsi="Arial"/>
          <w:sz w:val="22"/>
          <w:szCs w:val="22"/>
        </w:rPr>
        <w:t>private shareholding in a central bank could potentially create the risk of untoward actions by shareholders taken in pursuit of personal objectives rather than the public interest</w:t>
      </w:r>
      <w:r w:rsidR="00FC5E3B" w:rsidRPr="00FC5E3B">
        <w:rPr>
          <w:rFonts w:ascii="Arial" w:hAnsi="Arial"/>
          <w:sz w:val="22"/>
          <w:szCs w:val="22"/>
        </w:rPr>
        <w:t xml:space="preserve">.  </w:t>
      </w:r>
      <w:r w:rsidR="00376B58" w:rsidRPr="00FC5E3B">
        <w:rPr>
          <w:rFonts w:ascii="Arial" w:hAnsi="Arial"/>
          <w:sz w:val="22"/>
          <w:szCs w:val="22"/>
        </w:rPr>
        <w:t>Although a single shareholder in the SARB was in terms of the SARB Act restricted to holding not more than 10,000 shares and to no more than 50 votes at a meeting of shareholders, the SARB at times in the past (i.e. before 2010) experienced deliberate attempts at circumventing these limitations.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="00376B58" w:rsidRPr="00FC5E3B">
        <w:rPr>
          <w:rFonts w:ascii="Arial" w:hAnsi="Arial"/>
          <w:sz w:val="22"/>
          <w:szCs w:val="22"/>
        </w:rPr>
        <w:t xml:space="preserve">Individual persons by </w:t>
      </w:r>
      <w:proofErr w:type="spellStart"/>
      <w:r w:rsidR="00376B58" w:rsidRPr="00FC5E3B">
        <w:rPr>
          <w:rFonts w:ascii="Arial" w:hAnsi="Arial"/>
          <w:sz w:val="22"/>
          <w:szCs w:val="22"/>
        </w:rPr>
        <w:t>utilising</w:t>
      </w:r>
      <w:proofErr w:type="spellEnd"/>
      <w:r w:rsidR="00376B58" w:rsidRPr="00FC5E3B">
        <w:rPr>
          <w:rFonts w:ascii="Arial" w:hAnsi="Arial"/>
          <w:sz w:val="22"/>
          <w:szCs w:val="22"/>
        </w:rPr>
        <w:t xml:space="preserve"> the names of minors, relatives, friends or other persons under their influence accumulated unduly large numbers of SARB shares under their control.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="00376B58" w:rsidRPr="00FC5E3B">
        <w:rPr>
          <w:rFonts w:ascii="Arial" w:hAnsi="Arial"/>
          <w:sz w:val="22"/>
          <w:szCs w:val="22"/>
        </w:rPr>
        <w:t xml:space="preserve">This resulted in undue concentrations of SARB shares under the ultimate control of single persons, who could potentially </w:t>
      </w:r>
      <w:proofErr w:type="spellStart"/>
      <w:r w:rsidR="00376B58" w:rsidRPr="00FC5E3B">
        <w:rPr>
          <w:rFonts w:ascii="Arial" w:hAnsi="Arial"/>
          <w:sz w:val="22"/>
          <w:szCs w:val="22"/>
        </w:rPr>
        <w:t>utilise</w:t>
      </w:r>
      <w:proofErr w:type="spellEnd"/>
      <w:r w:rsidR="00376B58" w:rsidRPr="00FC5E3B">
        <w:rPr>
          <w:rFonts w:ascii="Arial" w:hAnsi="Arial"/>
          <w:sz w:val="22"/>
          <w:szCs w:val="22"/>
        </w:rPr>
        <w:t xml:space="preserve"> the commensurate number of </w:t>
      </w:r>
      <w:r w:rsidR="00376B58" w:rsidRPr="00FC5E3B">
        <w:rPr>
          <w:rFonts w:ascii="Arial" w:hAnsi="Arial"/>
          <w:sz w:val="22"/>
          <w:szCs w:val="22"/>
        </w:rPr>
        <w:lastRenderedPageBreak/>
        <w:t xml:space="preserve">votes under their control to exercise undue influence on the SARB for personal purposes and their own personal gain. </w:t>
      </w: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Pr="00FC5E3B" w:rsidRDefault="00376B58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 xml:space="preserve">The SARB Amendment Act, which introduced substantial amendments to the legal structure and operations of the SARB, amongst other things, adequately addressed </w:t>
      </w:r>
      <w:r w:rsidR="00246D36" w:rsidRPr="00FC5E3B">
        <w:rPr>
          <w:rFonts w:ascii="Arial" w:hAnsi="Arial"/>
          <w:sz w:val="22"/>
          <w:szCs w:val="22"/>
        </w:rPr>
        <w:t xml:space="preserve">the previous </w:t>
      </w:r>
      <w:r w:rsidRPr="00FC5E3B">
        <w:rPr>
          <w:rFonts w:ascii="Arial" w:hAnsi="Arial"/>
          <w:sz w:val="22"/>
          <w:szCs w:val="22"/>
        </w:rPr>
        <w:t>anomaly. Major amendments constituted the introduction of the concept of “associates” in respect of shareholders or potential shareholders of the SARB and the establishment of a panel (established and convened by the Governor) to give effect to fit and proper principles with regard to non-executive directors elected by shareholders.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Pr="00FC5E3B">
        <w:rPr>
          <w:rFonts w:ascii="Arial" w:hAnsi="Arial"/>
          <w:sz w:val="22"/>
          <w:szCs w:val="22"/>
        </w:rPr>
        <w:t>It resulted in the existing numbers of SARB shares held by all persons who qualify as associates of a specific shareholder or potential shareholder being taken into account in the determination of the number of shares (limited to 10,000 shares) that the specific shareholder may lawfully hold or acquire.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Pr="00FC5E3B">
        <w:rPr>
          <w:rFonts w:ascii="Arial" w:hAnsi="Arial"/>
          <w:sz w:val="22"/>
          <w:szCs w:val="22"/>
        </w:rPr>
        <w:t xml:space="preserve">Shareholders were also </w:t>
      </w:r>
      <w:r w:rsidR="00FC5E3B" w:rsidRPr="00FC5E3B">
        <w:rPr>
          <w:rFonts w:ascii="Arial" w:hAnsi="Arial"/>
          <w:sz w:val="22"/>
          <w:szCs w:val="22"/>
        </w:rPr>
        <w:t>hereafter</w:t>
      </w:r>
      <w:r w:rsidRPr="00FC5E3B">
        <w:rPr>
          <w:rFonts w:ascii="Arial" w:hAnsi="Arial"/>
          <w:sz w:val="22"/>
          <w:szCs w:val="22"/>
        </w:rPr>
        <w:t xml:space="preserve"> only entitled to elect non-executive directors to the Board that had been declared eligible by the panel.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Pr="00FC5E3B">
        <w:rPr>
          <w:rFonts w:ascii="Arial" w:hAnsi="Arial"/>
          <w:sz w:val="22"/>
          <w:szCs w:val="22"/>
        </w:rPr>
        <w:t>The Board consists of fifteen directors (eleven non-executive and four executive directors) of which the President appoints eight, which includes the Governors.</w:t>
      </w:r>
      <w:r w:rsidR="00FC5E3B" w:rsidRPr="00FC5E3B">
        <w:rPr>
          <w:rFonts w:ascii="Arial" w:hAnsi="Arial"/>
          <w:sz w:val="22"/>
          <w:szCs w:val="22"/>
        </w:rPr>
        <w:t xml:space="preserve">  </w:t>
      </w:r>
      <w:r w:rsidRPr="00FC5E3B">
        <w:rPr>
          <w:rFonts w:ascii="Arial" w:hAnsi="Arial"/>
          <w:sz w:val="22"/>
          <w:szCs w:val="22"/>
        </w:rPr>
        <w:t>The shareholders elect the remaining seven.</w:t>
      </w: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Pr="00FC5E3B" w:rsidRDefault="00376B58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C5E3B">
        <w:rPr>
          <w:rFonts w:ascii="Arial" w:hAnsi="Arial"/>
          <w:sz w:val="22"/>
          <w:szCs w:val="22"/>
        </w:rPr>
        <w:t xml:space="preserve">Consequently, shareholders of the SARB have limited powers, which in addition to the above (at a general meeting of shareholders), are limited to discussing the annual report and financial statements of the SARB, appointing </w:t>
      </w:r>
      <w:r w:rsidR="00FC5E3B" w:rsidRPr="00FC5E3B">
        <w:rPr>
          <w:rFonts w:ascii="Arial" w:hAnsi="Arial"/>
          <w:sz w:val="22"/>
          <w:szCs w:val="22"/>
        </w:rPr>
        <w:t xml:space="preserve">of </w:t>
      </w:r>
      <w:r w:rsidRPr="00FC5E3B">
        <w:rPr>
          <w:rFonts w:ascii="Arial" w:hAnsi="Arial"/>
          <w:sz w:val="22"/>
          <w:szCs w:val="22"/>
        </w:rPr>
        <w:t>the auditors and approving their remuneration and discussing special business duly placed on the agenda of the meeting.</w:t>
      </w:r>
    </w:p>
    <w:p w:rsidR="005F3F4A" w:rsidRPr="00FC5E3B" w:rsidRDefault="005F3F4A" w:rsidP="00FC5E3B">
      <w:pPr>
        <w:pStyle w:val="Body"/>
        <w:tabs>
          <w:tab w:val="left" w:pos="432"/>
          <w:tab w:val="left" w:pos="864"/>
        </w:tabs>
        <w:contextualSpacing/>
        <w:rPr>
          <w:rFonts w:ascii="Arial" w:eastAsia="Arial" w:hAnsi="Arial" w:cs="Arial"/>
          <w:sz w:val="22"/>
          <w:szCs w:val="22"/>
        </w:rPr>
      </w:pPr>
    </w:p>
    <w:p w:rsidR="005F3F4A" w:rsidRPr="00FC5E3B" w:rsidRDefault="005F3F4A" w:rsidP="00FC5E3B">
      <w:pPr>
        <w:pStyle w:val="Body"/>
        <w:tabs>
          <w:tab w:val="left" w:pos="432"/>
          <w:tab w:val="left" w:pos="864"/>
        </w:tabs>
        <w:contextualSpacing/>
        <w:rPr>
          <w:rFonts w:ascii="Arial" w:eastAsia="Arial" w:hAnsi="Arial" w:cs="Arial"/>
          <w:sz w:val="22"/>
          <w:szCs w:val="22"/>
        </w:rPr>
      </w:pPr>
    </w:p>
    <w:p w:rsidR="005F3F4A" w:rsidRPr="00FC5E3B" w:rsidRDefault="005F3F4A" w:rsidP="00FC5E3B">
      <w:pPr>
        <w:pStyle w:val="Body"/>
        <w:tabs>
          <w:tab w:val="left" w:pos="432"/>
          <w:tab w:val="left" w:pos="864"/>
        </w:tabs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F3F4A" w:rsidRDefault="005F3F4A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5F3F4A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49" w:rsidRDefault="00B43149">
      <w:r>
        <w:separator/>
      </w:r>
    </w:p>
  </w:endnote>
  <w:endnote w:type="continuationSeparator" w:id="0">
    <w:p w:rsidR="00B43149" w:rsidRDefault="00B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4A" w:rsidRDefault="005F3F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49" w:rsidRDefault="00B43149">
      <w:r>
        <w:separator/>
      </w:r>
    </w:p>
  </w:footnote>
  <w:footnote w:type="continuationSeparator" w:id="0">
    <w:p w:rsidR="00B43149" w:rsidRDefault="00B4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4A" w:rsidRDefault="005F3F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F4A"/>
    <w:rsid w:val="00246D36"/>
    <w:rsid w:val="00376B58"/>
    <w:rsid w:val="005F3F4A"/>
    <w:rsid w:val="006832DA"/>
    <w:rsid w:val="00B43149"/>
    <w:rsid w:val="00BB196E"/>
    <w:rsid w:val="00DD0F4D"/>
    <w:rsid w:val="00EE0590"/>
    <w:rsid w:val="00F22F1F"/>
    <w:rsid w:val="00FC21CA"/>
    <w:rsid w:val="00FC5E3B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Batwa</dc:creator>
  <cp:lastModifiedBy>Samuel Mandiwana</cp:lastModifiedBy>
  <cp:revision>3</cp:revision>
  <cp:lastPrinted>2017-05-12T13:12:00Z</cp:lastPrinted>
  <dcterms:created xsi:type="dcterms:W3CDTF">2017-05-26T10:03:00Z</dcterms:created>
  <dcterms:modified xsi:type="dcterms:W3CDTF">2017-05-26T10:27:00Z</dcterms:modified>
</cp:coreProperties>
</file>