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36" w:rsidRDefault="00626B36" w:rsidP="00DB2624">
      <w:pPr>
        <w:rPr>
          <w:lang w:val="en-ZA"/>
        </w:rPr>
      </w:pPr>
    </w:p>
    <w:p w:rsidR="005047F1" w:rsidRDefault="00365C7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1968500</wp:posOffset>
            </wp:positionH>
            <wp:positionV relativeFrom="line">
              <wp:posOffset>-297180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A259B4">
      <w:pPr>
        <w:jc w:val="center"/>
        <w:rPr>
          <w:rFonts w:ascii="Arial" w:hAnsi="Arial" w:cs="Arial"/>
          <w:b/>
          <w:bCs/>
        </w:rPr>
      </w:pPr>
      <w:r>
        <w:rPr>
          <w:rFonts w:ascii="Arial" w:hAnsi="Arial" w:cs="Arial"/>
          <w:b/>
          <w:bCs/>
        </w:rPr>
        <w:t>NATIONAL ASSEMBLY</w:t>
      </w:r>
    </w:p>
    <w:p w:rsidR="007252FF" w:rsidRPr="007252FF" w:rsidRDefault="007252FF" w:rsidP="00A259B4">
      <w:pPr>
        <w:jc w:val="center"/>
        <w:rPr>
          <w:rFonts w:ascii="Arial" w:hAnsi="Arial" w:cs="Arial"/>
          <w:b/>
        </w:rPr>
      </w:pPr>
      <w:r w:rsidRPr="007252FF">
        <w:rPr>
          <w:rFonts w:ascii="Arial" w:hAnsi="Arial" w:cs="Arial"/>
          <w:b/>
        </w:rPr>
        <w:t>QUESTION FOR WRITTEN REPLY</w:t>
      </w:r>
    </w:p>
    <w:p w:rsidR="007252FF" w:rsidRPr="007252FF" w:rsidRDefault="007252FF" w:rsidP="00A259B4">
      <w:pPr>
        <w:tabs>
          <w:tab w:val="left" w:pos="3310"/>
        </w:tabs>
        <w:jc w:val="center"/>
        <w:rPr>
          <w:rFonts w:ascii="Arial" w:hAnsi="Arial" w:cs="Arial"/>
          <w:b/>
        </w:rPr>
      </w:pPr>
      <w:r w:rsidRPr="007252FF">
        <w:rPr>
          <w:rFonts w:ascii="Arial" w:hAnsi="Arial" w:cs="Arial"/>
          <w:b/>
        </w:rPr>
        <w:t xml:space="preserve">QUESTION NO.: </w:t>
      </w:r>
      <w:r w:rsidR="007B55B5">
        <w:rPr>
          <w:rFonts w:ascii="Arial" w:hAnsi="Arial" w:cs="Arial"/>
          <w:b/>
        </w:rPr>
        <w:t>587</w:t>
      </w:r>
    </w:p>
    <w:p w:rsidR="007B55B5" w:rsidRDefault="007B55B5" w:rsidP="007B55B5">
      <w:pPr>
        <w:spacing w:before="100" w:beforeAutospacing="1" w:after="100" w:afterAutospacing="1"/>
        <w:ind w:left="709" w:hanging="709"/>
        <w:jc w:val="both"/>
        <w:rPr>
          <w:rFonts w:ascii="Arial" w:hAnsi="Arial" w:cs="Arial"/>
          <w:lang w:val="en-ZA"/>
        </w:rPr>
      </w:pPr>
      <w:r>
        <w:rPr>
          <w:rFonts w:ascii="Arial" w:hAnsi="Arial" w:cs="Arial"/>
          <w:b/>
          <w:bCs/>
        </w:rPr>
        <w:t>587.</w:t>
      </w:r>
      <w:r w:rsidR="00D76304" w:rsidRPr="00D76304">
        <w:rPr>
          <w:rFonts w:ascii="Arial" w:hAnsi="Arial" w:cs="Arial"/>
          <w:b/>
          <w:bCs/>
        </w:rPr>
        <w:t>     </w:t>
      </w:r>
      <w:r w:rsidR="00BD73B4">
        <w:rPr>
          <w:rFonts w:ascii="Arial" w:hAnsi="Arial" w:cs="Arial"/>
          <w:b/>
          <w:bCs/>
        </w:rPr>
        <w:t xml:space="preserve">Mr </w:t>
      </w:r>
      <w:r w:rsidR="00FA1820">
        <w:rPr>
          <w:rFonts w:ascii="Arial" w:hAnsi="Arial" w:cs="Arial"/>
          <w:b/>
          <w:bCs/>
        </w:rPr>
        <w:t xml:space="preserve">R </w:t>
      </w:r>
      <w:r>
        <w:rPr>
          <w:rFonts w:ascii="Arial" w:hAnsi="Arial" w:cs="Arial"/>
          <w:b/>
          <w:bCs/>
        </w:rPr>
        <w:t>N Komane (EFF)</w:t>
      </w:r>
      <w:r w:rsidR="00D76304" w:rsidRPr="00D76304">
        <w:rPr>
          <w:rFonts w:ascii="Arial" w:hAnsi="Arial" w:cs="Arial"/>
          <w:b/>
          <w:bCs/>
        </w:rPr>
        <w:t xml:space="preserve"> to ask the Minister of Public Enterprises: </w:t>
      </w:r>
    </w:p>
    <w:p w:rsidR="00771EE9" w:rsidRPr="007B55B5" w:rsidRDefault="007B55B5" w:rsidP="00A259B4">
      <w:pPr>
        <w:spacing w:before="100" w:beforeAutospacing="1" w:after="100" w:afterAutospacing="1"/>
        <w:ind w:left="709" w:firstLine="12"/>
        <w:jc w:val="both"/>
        <w:rPr>
          <w:rFonts w:ascii="Arial" w:hAnsi="Arial" w:cs="Arial"/>
          <w:lang w:val="en-ZA"/>
        </w:rPr>
      </w:pPr>
      <w:r>
        <w:rPr>
          <w:rFonts w:ascii="Arial" w:hAnsi="Arial" w:cs="Arial"/>
        </w:rPr>
        <w:t>Whether his department or any of the entities reporting to him ever contracted the services of a certain company since February 2018; if so, (a) what was the value of each contract, (b) on what date was it awarded, (c) for what services was it awarded and (d) who approved the contracting of the services? NW1584E</w:t>
      </w:r>
    </w:p>
    <w:p w:rsidR="00B06F1A" w:rsidRPr="00A259B4" w:rsidRDefault="00A259B4" w:rsidP="0091568C">
      <w:pPr>
        <w:spacing w:before="100" w:beforeAutospacing="1" w:after="100" w:afterAutospacing="1"/>
        <w:jc w:val="both"/>
        <w:rPr>
          <w:rFonts w:ascii="Arial" w:hAnsi="Arial" w:cs="Arial"/>
          <w:b/>
          <w:u w:val="single"/>
        </w:rPr>
      </w:pPr>
      <w:r w:rsidRPr="00A259B4">
        <w:rPr>
          <w:rFonts w:ascii="Arial" w:hAnsi="Arial" w:cs="Arial"/>
          <w:b/>
          <w:u w:val="single"/>
        </w:rPr>
        <w:t>REPLY:</w:t>
      </w:r>
      <w:r w:rsidR="0091568C" w:rsidRPr="00A259B4">
        <w:rPr>
          <w:rFonts w:ascii="Arial" w:hAnsi="Arial" w:cs="Arial"/>
          <w:b/>
          <w:u w:val="single"/>
        </w:rPr>
        <w:t xml:space="preserve"> </w:t>
      </w:r>
    </w:p>
    <w:p w:rsidR="0091568C" w:rsidRDefault="0091568C" w:rsidP="0091568C">
      <w:pPr>
        <w:spacing w:before="100" w:beforeAutospacing="1" w:after="100" w:afterAutospacing="1" w:line="276" w:lineRule="auto"/>
        <w:jc w:val="both"/>
        <w:rPr>
          <w:rFonts w:ascii="Arial" w:hAnsi="Arial" w:cs="Arial"/>
          <w:b/>
        </w:rPr>
      </w:pPr>
      <w:r>
        <w:rPr>
          <w:rFonts w:ascii="Arial" w:hAnsi="Arial" w:cs="Arial"/>
          <w:b/>
        </w:rPr>
        <w:t>D</w:t>
      </w:r>
      <w:r w:rsidR="00A259B4">
        <w:rPr>
          <w:rFonts w:ascii="Arial" w:hAnsi="Arial" w:cs="Arial"/>
          <w:b/>
        </w:rPr>
        <w:t xml:space="preserve">epartment of </w:t>
      </w:r>
      <w:r>
        <w:rPr>
          <w:rFonts w:ascii="Arial" w:hAnsi="Arial" w:cs="Arial"/>
          <w:b/>
        </w:rPr>
        <w:t>P</w:t>
      </w:r>
      <w:r w:rsidR="00A259B4">
        <w:rPr>
          <w:rFonts w:ascii="Arial" w:hAnsi="Arial" w:cs="Arial"/>
          <w:b/>
        </w:rPr>
        <w:t xml:space="preserve">ublic </w:t>
      </w:r>
      <w:r>
        <w:rPr>
          <w:rFonts w:ascii="Arial" w:hAnsi="Arial" w:cs="Arial"/>
          <w:b/>
        </w:rPr>
        <w:t>E</w:t>
      </w:r>
      <w:r w:rsidR="00A259B4">
        <w:rPr>
          <w:rFonts w:ascii="Arial" w:hAnsi="Arial" w:cs="Arial"/>
          <w:b/>
        </w:rPr>
        <w:t>nterprises</w:t>
      </w:r>
      <w:r>
        <w:rPr>
          <w:rFonts w:ascii="Arial" w:hAnsi="Arial" w:cs="Arial"/>
          <w:b/>
        </w:rPr>
        <w:t>:</w:t>
      </w:r>
    </w:p>
    <w:p w:rsidR="000D7B56" w:rsidRPr="008E25FB" w:rsidRDefault="0091568C" w:rsidP="0091568C">
      <w:pPr>
        <w:spacing w:before="100" w:beforeAutospacing="1" w:after="100" w:afterAutospacing="1" w:line="276" w:lineRule="auto"/>
        <w:jc w:val="both"/>
        <w:rPr>
          <w:rFonts w:ascii="Arial" w:hAnsi="Arial" w:cs="Arial"/>
        </w:rPr>
      </w:pPr>
      <w:r w:rsidRPr="008E25FB">
        <w:rPr>
          <w:rFonts w:ascii="Arial" w:hAnsi="Arial" w:cs="Arial"/>
          <w:sz w:val="22"/>
          <w:szCs w:val="22"/>
        </w:rPr>
        <w:t>The Department has not contracted services of Werksmans Attorneys.</w:t>
      </w:r>
    </w:p>
    <w:p w:rsidR="00B80815" w:rsidRDefault="00096CE8" w:rsidP="008E25FB">
      <w:pPr>
        <w:rPr>
          <w:rFonts w:ascii="Arial" w:hAnsi="Arial" w:cs="Arial"/>
          <w:b/>
        </w:rPr>
      </w:pPr>
      <w:r>
        <w:rPr>
          <w:rFonts w:ascii="Arial" w:hAnsi="Arial" w:cs="Arial"/>
          <w:b/>
        </w:rPr>
        <w:t xml:space="preserve">According to the information received from </w:t>
      </w:r>
      <w:r w:rsidR="0091568C">
        <w:rPr>
          <w:rFonts w:ascii="Arial" w:hAnsi="Arial" w:cs="Arial"/>
          <w:b/>
        </w:rPr>
        <w:t xml:space="preserve">Alexkor </w:t>
      </w:r>
      <w:r w:rsidR="008E25FB">
        <w:rPr>
          <w:rFonts w:ascii="Arial" w:hAnsi="Arial" w:cs="Arial"/>
          <w:b/>
        </w:rPr>
        <w:t xml:space="preserve">SOC LTD </w:t>
      </w:r>
    </w:p>
    <w:p w:rsidR="008E25FB" w:rsidRPr="00F9084E" w:rsidRDefault="008E25FB" w:rsidP="008E25F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799"/>
        <w:gridCol w:w="1810"/>
        <w:gridCol w:w="1787"/>
        <w:gridCol w:w="1886"/>
      </w:tblGrid>
      <w:tr w:rsidR="00B80815" w:rsidRPr="00EA433D" w:rsidTr="00152C51">
        <w:tc>
          <w:tcPr>
            <w:tcW w:w="1592"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Company name (furnished)</w:t>
            </w:r>
          </w:p>
        </w:tc>
        <w:tc>
          <w:tcPr>
            <w:tcW w:w="1834"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(a) what was the value of each contract</w:t>
            </w:r>
          </w:p>
        </w:tc>
        <w:tc>
          <w:tcPr>
            <w:tcW w:w="1846"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(b) on what date was it awarded</w:t>
            </w:r>
          </w:p>
        </w:tc>
        <w:tc>
          <w:tcPr>
            <w:tcW w:w="1822"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(c) for what services was it warded</w:t>
            </w:r>
          </w:p>
        </w:tc>
        <w:tc>
          <w:tcPr>
            <w:tcW w:w="1922"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(d) who approved the contracting of the services?</w:t>
            </w:r>
          </w:p>
        </w:tc>
      </w:tr>
      <w:tr w:rsidR="00B80815" w:rsidRPr="00EA433D" w:rsidTr="00152C51">
        <w:tc>
          <w:tcPr>
            <w:tcW w:w="1592"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Werksman Attorneys</w:t>
            </w:r>
          </w:p>
        </w:tc>
        <w:tc>
          <w:tcPr>
            <w:tcW w:w="1834"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Not applicable</w:t>
            </w:r>
          </w:p>
        </w:tc>
        <w:tc>
          <w:tcPr>
            <w:tcW w:w="1846"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Not applicable</w:t>
            </w:r>
          </w:p>
        </w:tc>
        <w:tc>
          <w:tcPr>
            <w:tcW w:w="1822"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Not applicable</w:t>
            </w:r>
          </w:p>
        </w:tc>
        <w:tc>
          <w:tcPr>
            <w:tcW w:w="1922" w:type="dxa"/>
            <w:shd w:val="clear" w:color="auto" w:fill="auto"/>
          </w:tcPr>
          <w:p w:rsidR="00B80815" w:rsidRPr="00152C51" w:rsidRDefault="00B80815" w:rsidP="00152C51">
            <w:pPr>
              <w:jc w:val="both"/>
              <w:rPr>
                <w:rFonts w:ascii="Arial" w:hAnsi="Arial" w:cs="Arial"/>
                <w:sz w:val="22"/>
                <w:szCs w:val="22"/>
              </w:rPr>
            </w:pPr>
            <w:r w:rsidRPr="00152C51">
              <w:rPr>
                <w:rFonts w:ascii="Arial" w:hAnsi="Arial" w:cs="Arial"/>
                <w:sz w:val="22"/>
                <w:szCs w:val="22"/>
              </w:rPr>
              <w:t>Not applicable</w:t>
            </w:r>
          </w:p>
        </w:tc>
      </w:tr>
    </w:tbl>
    <w:p w:rsidR="00096CE8" w:rsidRDefault="00096CE8" w:rsidP="00096CE8">
      <w:pPr>
        <w:rPr>
          <w:rFonts w:ascii="Arial" w:hAnsi="Arial" w:cs="Arial"/>
        </w:rPr>
      </w:pPr>
      <w:r>
        <w:rPr>
          <w:rFonts w:ascii="Arial" w:hAnsi="Arial" w:cs="Arial"/>
        </w:rPr>
        <w:t>Alexkor</w:t>
      </w:r>
      <w:r w:rsidRPr="007B55B5">
        <w:rPr>
          <w:rFonts w:ascii="Arial" w:hAnsi="Arial" w:cs="Arial"/>
        </w:rPr>
        <w:t xml:space="preserve"> SOC did not contract the services of Werksmans Attorneys since February 2018.</w:t>
      </w:r>
    </w:p>
    <w:p w:rsidR="00096CE8" w:rsidRDefault="00096CE8" w:rsidP="00E02586">
      <w:pPr>
        <w:rPr>
          <w:rFonts w:ascii="Arial" w:hAnsi="Arial" w:cs="Arial"/>
          <w:b/>
        </w:rPr>
      </w:pPr>
    </w:p>
    <w:p w:rsidR="007B55B5" w:rsidRDefault="00016464" w:rsidP="00E02586">
      <w:pPr>
        <w:rPr>
          <w:rFonts w:ascii="Arial" w:hAnsi="Arial" w:cs="Arial"/>
          <w:b/>
        </w:rPr>
      </w:pPr>
      <w:r>
        <w:rPr>
          <w:rFonts w:ascii="Arial" w:hAnsi="Arial" w:cs="Arial"/>
          <w:b/>
        </w:rPr>
        <w:t xml:space="preserve">According to the information received from </w:t>
      </w:r>
      <w:r w:rsidR="007B55B5">
        <w:rPr>
          <w:rFonts w:ascii="Arial" w:hAnsi="Arial" w:cs="Arial"/>
          <w:b/>
        </w:rPr>
        <w:t>Denel</w:t>
      </w:r>
      <w:r w:rsidR="0091568C">
        <w:rPr>
          <w:rFonts w:ascii="Arial" w:hAnsi="Arial" w:cs="Arial"/>
          <w:b/>
        </w:rPr>
        <w:t xml:space="preserve"> </w:t>
      </w:r>
      <w:r w:rsidR="008E25FB">
        <w:rPr>
          <w:rFonts w:ascii="Arial" w:hAnsi="Arial" w:cs="Arial"/>
          <w:b/>
        </w:rPr>
        <w:t>SOC LTD</w:t>
      </w:r>
    </w:p>
    <w:p w:rsidR="007B55B5" w:rsidRDefault="007B55B5" w:rsidP="00E025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799"/>
        <w:gridCol w:w="1810"/>
        <w:gridCol w:w="1787"/>
        <w:gridCol w:w="1886"/>
      </w:tblGrid>
      <w:tr w:rsidR="00096CE8" w:rsidRPr="00EA433D" w:rsidTr="006B770D">
        <w:tc>
          <w:tcPr>
            <w:tcW w:w="159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Company name (furnished)</w:t>
            </w:r>
          </w:p>
        </w:tc>
        <w:tc>
          <w:tcPr>
            <w:tcW w:w="1834"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(a) what was the value of each contract</w:t>
            </w:r>
          </w:p>
        </w:tc>
        <w:tc>
          <w:tcPr>
            <w:tcW w:w="1846"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(b) on what date was it awarded</w:t>
            </w:r>
          </w:p>
        </w:tc>
        <w:tc>
          <w:tcPr>
            <w:tcW w:w="18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(c) for what services was it warded</w:t>
            </w:r>
          </w:p>
        </w:tc>
        <w:tc>
          <w:tcPr>
            <w:tcW w:w="19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(d) who approved the contracting of the services?</w:t>
            </w:r>
          </w:p>
        </w:tc>
      </w:tr>
      <w:tr w:rsidR="00096CE8" w:rsidRPr="00EA433D" w:rsidTr="006B770D">
        <w:tc>
          <w:tcPr>
            <w:tcW w:w="159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Werksman Attorneys</w:t>
            </w:r>
          </w:p>
        </w:tc>
        <w:tc>
          <w:tcPr>
            <w:tcW w:w="1834"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c>
          <w:tcPr>
            <w:tcW w:w="1846"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c>
          <w:tcPr>
            <w:tcW w:w="18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c>
          <w:tcPr>
            <w:tcW w:w="19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r>
    </w:tbl>
    <w:p w:rsidR="00690080" w:rsidRDefault="007B55B5" w:rsidP="00626B36">
      <w:pPr>
        <w:rPr>
          <w:rFonts w:ascii="Arial" w:hAnsi="Arial" w:cs="Arial"/>
        </w:rPr>
      </w:pPr>
      <w:r w:rsidRPr="007B55B5">
        <w:rPr>
          <w:rFonts w:ascii="Arial" w:hAnsi="Arial" w:cs="Arial"/>
        </w:rPr>
        <w:t>Denel SOC did not contract the services of Werksmans Attorneys since February 2018.</w:t>
      </w:r>
    </w:p>
    <w:p w:rsidR="00626B36" w:rsidRDefault="00626B36" w:rsidP="00626B36">
      <w:pPr>
        <w:rPr>
          <w:rFonts w:ascii="Arial" w:hAnsi="Arial" w:cs="Arial"/>
          <w:b/>
        </w:rPr>
      </w:pPr>
    </w:p>
    <w:p w:rsidR="00A259B4" w:rsidRDefault="00A259B4" w:rsidP="008E25FB">
      <w:pPr>
        <w:spacing w:before="100" w:beforeAutospacing="1" w:after="100" w:afterAutospacing="1" w:line="360" w:lineRule="auto"/>
        <w:jc w:val="both"/>
        <w:outlineLvl w:val="0"/>
        <w:rPr>
          <w:rFonts w:ascii="Arial" w:hAnsi="Arial" w:cs="Arial"/>
          <w:b/>
        </w:rPr>
      </w:pPr>
    </w:p>
    <w:p w:rsidR="00690080" w:rsidRDefault="00096CE8" w:rsidP="008E25FB">
      <w:pPr>
        <w:spacing w:before="100" w:beforeAutospacing="1" w:after="100" w:afterAutospacing="1" w:line="360" w:lineRule="auto"/>
        <w:jc w:val="both"/>
        <w:outlineLvl w:val="0"/>
        <w:rPr>
          <w:rFonts w:ascii="Arial" w:hAnsi="Arial" w:cs="Arial"/>
          <w:b/>
        </w:rPr>
      </w:pPr>
      <w:r>
        <w:rPr>
          <w:rFonts w:ascii="Arial" w:hAnsi="Arial" w:cs="Arial"/>
          <w:b/>
        </w:rPr>
        <w:lastRenderedPageBreak/>
        <w:t xml:space="preserve">According to the information received from </w:t>
      </w:r>
      <w:r w:rsidR="0091568C">
        <w:rPr>
          <w:rFonts w:ascii="Arial" w:hAnsi="Arial" w:cs="Arial"/>
          <w:b/>
        </w:rPr>
        <w:t xml:space="preserve">Eskom </w:t>
      </w:r>
      <w:r w:rsidR="008E25FB">
        <w:rPr>
          <w:rFonts w:ascii="Arial" w:hAnsi="Arial" w:cs="Arial"/>
          <w:b/>
        </w:rPr>
        <w:t xml:space="preserve">SOC LTD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1799"/>
        <w:gridCol w:w="1810"/>
        <w:gridCol w:w="1787"/>
        <w:gridCol w:w="1886"/>
      </w:tblGrid>
      <w:tr w:rsidR="00096CE8" w:rsidRPr="00EA433D" w:rsidTr="006B770D">
        <w:tc>
          <w:tcPr>
            <w:tcW w:w="159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Company name (furnished)</w:t>
            </w:r>
          </w:p>
        </w:tc>
        <w:tc>
          <w:tcPr>
            <w:tcW w:w="1834"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(a) what was the value of each contract</w:t>
            </w:r>
          </w:p>
        </w:tc>
        <w:tc>
          <w:tcPr>
            <w:tcW w:w="1846"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(b) on what date was it awarded</w:t>
            </w:r>
          </w:p>
        </w:tc>
        <w:tc>
          <w:tcPr>
            <w:tcW w:w="18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(c) for what services was it warded</w:t>
            </w:r>
          </w:p>
        </w:tc>
        <w:tc>
          <w:tcPr>
            <w:tcW w:w="19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(d) who approved the contracting of the services?</w:t>
            </w:r>
          </w:p>
        </w:tc>
      </w:tr>
      <w:tr w:rsidR="00096CE8" w:rsidRPr="00EA433D" w:rsidTr="006B770D">
        <w:tc>
          <w:tcPr>
            <w:tcW w:w="159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Werksman Attorneys</w:t>
            </w:r>
          </w:p>
        </w:tc>
        <w:tc>
          <w:tcPr>
            <w:tcW w:w="1834"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c>
          <w:tcPr>
            <w:tcW w:w="1846"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c>
          <w:tcPr>
            <w:tcW w:w="18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c>
          <w:tcPr>
            <w:tcW w:w="1922" w:type="dxa"/>
            <w:shd w:val="clear" w:color="auto" w:fill="auto"/>
          </w:tcPr>
          <w:p w:rsidR="00096CE8" w:rsidRPr="00152C51" w:rsidRDefault="00096CE8" w:rsidP="006B770D">
            <w:pPr>
              <w:jc w:val="both"/>
              <w:rPr>
                <w:rFonts w:ascii="Arial" w:hAnsi="Arial" w:cs="Arial"/>
                <w:sz w:val="22"/>
                <w:szCs w:val="22"/>
              </w:rPr>
            </w:pPr>
            <w:r w:rsidRPr="00152C51">
              <w:rPr>
                <w:rFonts w:ascii="Arial" w:hAnsi="Arial" w:cs="Arial"/>
                <w:sz w:val="22"/>
                <w:szCs w:val="22"/>
              </w:rPr>
              <w:t>Not applicable</w:t>
            </w:r>
          </w:p>
        </w:tc>
      </w:tr>
    </w:tbl>
    <w:p w:rsidR="00B80815" w:rsidRDefault="00B80815" w:rsidP="008E25FB">
      <w:pPr>
        <w:spacing w:before="100" w:beforeAutospacing="1" w:after="100" w:afterAutospacing="1" w:line="360" w:lineRule="auto"/>
        <w:jc w:val="both"/>
        <w:outlineLvl w:val="0"/>
        <w:rPr>
          <w:rFonts w:ascii="Arial" w:hAnsi="Arial" w:cs="Arial"/>
          <w:color w:val="000000"/>
          <w:sz w:val="22"/>
          <w:szCs w:val="22"/>
        </w:rPr>
      </w:pPr>
      <w:r>
        <w:rPr>
          <w:rFonts w:ascii="Arial" w:hAnsi="Arial" w:cs="Arial"/>
          <w:color w:val="000000"/>
          <w:sz w:val="22"/>
          <w:szCs w:val="22"/>
        </w:rPr>
        <w:t>Eskom has not contracted services of Werksmans Attorneys since February 2018</w:t>
      </w:r>
      <w:r w:rsidRPr="003C7C72">
        <w:rPr>
          <w:rFonts w:ascii="Arial" w:hAnsi="Arial" w:cs="Arial"/>
          <w:color w:val="000000"/>
          <w:sz w:val="22"/>
          <w:szCs w:val="22"/>
        </w:rPr>
        <w:t xml:space="preserve">.  </w:t>
      </w:r>
    </w:p>
    <w:p w:rsidR="00013B22" w:rsidRDefault="00013B22" w:rsidP="00013B22">
      <w:pPr>
        <w:spacing w:before="100" w:beforeAutospacing="1" w:after="100" w:afterAutospacing="1" w:line="360" w:lineRule="auto"/>
        <w:jc w:val="both"/>
        <w:outlineLvl w:val="0"/>
        <w:rPr>
          <w:rFonts w:ascii="Arial" w:hAnsi="Arial" w:cs="Arial"/>
          <w:b/>
        </w:rPr>
      </w:pPr>
      <w:r>
        <w:rPr>
          <w:rFonts w:ascii="Arial" w:hAnsi="Arial" w:cs="Arial"/>
          <w:b/>
        </w:rPr>
        <w:t xml:space="preserve">According to the information received from SAA SOC LTD </w:t>
      </w:r>
    </w:p>
    <w:p w:rsidR="00013B22" w:rsidRDefault="00013B22" w:rsidP="00013B22">
      <w:pPr>
        <w:pStyle w:val="ListParagraph"/>
        <w:spacing w:line="360" w:lineRule="auto"/>
        <w:ind w:left="-142" w:firstLine="142"/>
        <w:rPr>
          <w:rFonts w:ascii="Arial" w:eastAsia="Times New Roman" w:hAnsi="Arial" w:cs="Arial"/>
          <w:sz w:val="24"/>
          <w:szCs w:val="24"/>
        </w:rPr>
      </w:pPr>
      <w:r>
        <w:rPr>
          <w:rFonts w:ascii="Arial" w:eastAsia="Times New Roman" w:hAnsi="Arial" w:cs="Arial"/>
          <w:sz w:val="24"/>
          <w:szCs w:val="24"/>
        </w:rPr>
        <w:t xml:space="preserve">(a)  </w:t>
      </w:r>
      <w:r w:rsidRPr="00624FFA">
        <w:rPr>
          <w:rFonts w:ascii="Arial" w:eastAsia="Times New Roman" w:hAnsi="Arial" w:cs="Arial"/>
          <w:sz w:val="24"/>
          <w:szCs w:val="24"/>
        </w:rPr>
        <w:t xml:space="preserve">Werksman rendered a variety of legal services to SAA as fully set out in </w:t>
      </w:r>
      <w:r>
        <w:rPr>
          <w:rFonts w:ascii="Arial" w:eastAsia="Times New Roman" w:hAnsi="Arial" w:cs="Arial"/>
          <w:sz w:val="24"/>
          <w:szCs w:val="24"/>
        </w:rPr>
        <w:tab/>
      </w:r>
      <w:r>
        <w:rPr>
          <w:rFonts w:ascii="Arial" w:eastAsia="Times New Roman" w:hAnsi="Arial" w:cs="Arial"/>
          <w:sz w:val="24"/>
          <w:szCs w:val="24"/>
        </w:rPr>
        <w:tab/>
        <w:t xml:space="preserve">      </w:t>
      </w:r>
      <w:r w:rsidRPr="00624FFA">
        <w:rPr>
          <w:rFonts w:ascii="Arial" w:eastAsia="Times New Roman" w:hAnsi="Arial" w:cs="Arial"/>
          <w:sz w:val="24"/>
          <w:szCs w:val="24"/>
        </w:rPr>
        <w:t xml:space="preserve">Table A hereunder. </w:t>
      </w:r>
    </w:p>
    <w:p w:rsidR="00013B22" w:rsidRPr="00624FFA" w:rsidRDefault="00013B22" w:rsidP="00013B22">
      <w:pPr>
        <w:pStyle w:val="ListParagraph"/>
        <w:spacing w:line="360" w:lineRule="auto"/>
        <w:ind w:left="426" w:hanging="142"/>
        <w:rPr>
          <w:rFonts w:ascii="Arial" w:eastAsia="Times New Roman" w:hAnsi="Arial" w:cs="Arial"/>
          <w:sz w:val="24"/>
          <w:szCs w:val="24"/>
        </w:rPr>
      </w:pPr>
      <w:r>
        <w:rPr>
          <w:rFonts w:ascii="Arial" w:eastAsia="Times New Roman" w:hAnsi="Arial" w:cs="Arial"/>
          <w:sz w:val="24"/>
          <w:szCs w:val="24"/>
        </w:rPr>
        <w:t xml:space="preserve">  </w:t>
      </w:r>
      <w:r w:rsidRPr="00624FFA">
        <w:rPr>
          <w:rFonts w:ascii="Arial" w:eastAsia="Times New Roman" w:hAnsi="Arial" w:cs="Arial"/>
          <w:sz w:val="24"/>
          <w:szCs w:val="24"/>
        </w:rPr>
        <w:t>Table A Werksmans rendered and were paid for the following services for the period 2008 to 2019</w:t>
      </w:r>
      <w:r>
        <w:rPr>
          <w:rFonts w:ascii="Arial" w:eastAsia="Times New Roman" w:hAnsi="Arial" w:cs="Arial"/>
          <w:sz w:val="24"/>
          <w:szCs w:val="24"/>
        </w:rPr>
        <w:t>.</w:t>
      </w:r>
    </w:p>
    <w:p w:rsidR="00013B22" w:rsidRPr="00624FFA" w:rsidRDefault="00013B22" w:rsidP="00013B22">
      <w:pPr>
        <w:pStyle w:val="ListParagraph"/>
        <w:spacing w:line="360" w:lineRule="auto"/>
        <w:ind w:left="1440" w:hanging="1440"/>
        <w:rPr>
          <w:rFonts w:ascii="Arial Narrow" w:hAnsi="Arial Narrow"/>
          <w:b/>
          <w:sz w:val="24"/>
          <w:szCs w:val="24"/>
        </w:rPr>
      </w:pPr>
      <w:r w:rsidRPr="00624FFA">
        <w:rPr>
          <w:rFonts w:ascii="Arial Narrow" w:hAnsi="Arial Narrow"/>
          <w:b/>
          <w:sz w:val="24"/>
          <w:szCs w:val="24"/>
        </w:rPr>
        <w:t>TABLE A</w:t>
      </w:r>
    </w:p>
    <w:tbl>
      <w:tblPr>
        <w:tblW w:w="9480" w:type="dxa"/>
        <w:tblLook w:val="04A0"/>
      </w:tblPr>
      <w:tblGrid>
        <w:gridCol w:w="1450"/>
        <w:gridCol w:w="1973"/>
        <w:gridCol w:w="4017"/>
        <w:gridCol w:w="2040"/>
      </w:tblGrid>
      <w:tr w:rsidR="00013B22" w:rsidRPr="00CA25D8" w:rsidTr="00990A76">
        <w:trPr>
          <w:trHeight w:val="540"/>
        </w:trPr>
        <w:tc>
          <w:tcPr>
            <w:tcW w:w="7440" w:type="dxa"/>
            <w:gridSpan w:val="3"/>
            <w:tcBorders>
              <w:top w:val="nil"/>
              <w:left w:val="nil"/>
              <w:bottom w:val="nil"/>
              <w:right w:val="nil"/>
            </w:tcBorders>
            <w:shd w:val="clear" w:color="000000" w:fill="BFBFBF"/>
            <w:noWrap/>
            <w:vAlign w:val="bottom"/>
            <w:hideMark/>
          </w:tcPr>
          <w:p w:rsidR="00013B22" w:rsidRPr="00CA25D8" w:rsidRDefault="00013B22" w:rsidP="00990A76">
            <w:pPr>
              <w:rPr>
                <w:rFonts w:ascii="Arial" w:hAnsi="Arial" w:cs="Arial"/>
                <w:b/>
                <w:bCs/>
                <w:sz w:val="22"/>
                <w:szCs w:val="22"/>
              </w:rPr>
            </w:pPr>
            <w:r w:rsidRPr="00CA25D8">
              <w:rPr>
                <w:rFonts w:ascii="Arial" w:hAnsi="Arial" w:cs="Arial"/>
                <w:b/>
                <w:bCs/>
                <w:sz w:val="22"/>
                <w:szCs w:val="22"/>
              </w:rPr>
              <w:t>SAA Paid Werksman the following amounts for the period 2008 to 2019</w:t>
            </w:r>
          </w:p>
        </w:tc>
        <w:tc>
          <w:tcPr>
            <w:tcW w:w="2040" w:type="dxa"/>
            <w:tcBorders>
              <w:top w:val="nil"/>
              <w:left w:val="nil"/>
              <w:bottom w:val="nil"/>
              <w:right w:val="nil"/>
            </w:tcBorders>
            <w:shd w:val="clear" w:color="000000" w:fill="BFBFBF"/>
            <w:noWrap/>
            <w:vAlign w:val="bottom"/>
            <w:hideMark/>
          </w:tcPr>
          <w:p w:rsidR="00013B22" w:rsidRPr="00CA25D8" w:rsidRDefault="00013B22" w:rsidP="00990A76">
            <w:pPr>
              <w:rPr>
                <w:rFonts w:ascii="Arial" w:hAnsi="Arial" w:cs="Arial"/>
                <w:b/>
                <w:bCs/>
                <w:sz w:val="22"/>
                <w:szCs w:val="22"/>
              </w:rPr>
            </w:pPr>
            <w:r w:rsidRPr="00CA25D8">
              <w:rPr>
                <w:rFonts w:ascii="Arial" w:hAnsi="Arial" w:cs="Arial"/>
                <w:b/>
                <w:bCs/>
                <w:sz w:val="22"/>
                <w:szCs w:val="22"/>
              </w:rPr>
              <w:t> </w:t>
            </w:r>
          </w:p>
        </w:tc>
      </w:tr>
      <w:tr w:rsidR="00013B22" w:rsidRPr="00CA25D8" w:rsidTr="00990A76">
        <w:trPr>
          <w:trHeight w:val="480"/>
        </w:trPr>
        <w:tc>
          <w:tcPr>
            <w:tcW w:w="145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13B22" w:rsidRPr="00CA25D8" w:rsidRDefault="00013B22" w:rsidP="00990A76">
            <w:pPr>
              <w:rPr>
                <w:rFonts w:ascii="Arial" w:hAnsi="Arial" w:cs="Arial"/>
                <w:b/>
                <w:bCs/>
              </w:rPr>
            </w:pPr>
            <w:r w:rsidRPr="00CA25D8">
              <w:rPr>
                <w:rFonts w:ascii="Arial" w:hAnsi="Arial" w:cs="Arial"/>
                <w:b/>
                <w:bCs/>
              </w:rPr>
              <w:t>Financial Year</w:t>
            </w:r>
          </w:p>
        </w:tc>
        <w:tc>
          <w:tcPr>
            <w:tcW w:w="1973" w:type="dxa"/>
            <w:tcBorders>
              <w:top w:val="single" w:sz="4" w:space="0" w:color="auto"/>
              <w:left w:val="nil"/>
              <w:bottom w:val="single" w:sz="4" w:space="0" w:color="auto"/>
              <w:right w:val="single" w:sz="4" w:space="0" w:color="auto"/>
            </w:tcBorders>
            <w:shd w:val="clear" w:color="000000" w:fill="BFBFBF"/>
            <w:noWrap/>
            <w:vAlign w:val="bottom"/>
            <w:hideMark/>
          </w:tcPr>
          <w:p w:rsidR="00013B22" w:rsidRPr="00CA25D8" w:rsidRDefault="00013B22" w:rsidP="00990A76">
            <w:pPr>
              <w:rPr>
                <w:rFonts w:ascii="Arial" w:hAnsi="Arial" w:cs="Arial"/>
                <w:b/>
                <w:bCs/>
              </w:rPr>
            </w:pPr>
            <w:r w:rsidRPr="00CA25D8">
              <w:rPr>
                <w:rFonts w:ascii="Arial" w:hAnsi="Arial" w:cs="Arial"/>
                <w:b/>
                <w:bCs/>
              </w:rPr>
              <w:t>Vendor Name</w:t>
            </w:r>
          </w:p>
        </w:tc>
        <w:tc>
          <w:tcPr>
            <w:tcW w:w="4017" w:type="dxa"/>
            <w:tcBorders>
              <w:top w:val="single" w:sz="4" w:space="0" w:color="auto"/>
              <w:left w:val="nil"/>
              <w:bottom w:val="single" w:sz="4" w:space="0" w:color="auto"/>
              <w:right w:val="single" w:sz="4" w:space="0" w:color="auto"/>
            </w:tcBorders>
            <w:shd w:val="clear" w:color="000000" w:fill="BFBFBF"/>
            <w:noWrap/>
            <w:vAlign w:val="bottom"/>
            <w:hideMark/>
          </w:tcPr>
          <w:p w:rsidR="00013B22" w:rsidRPr="00CA25D8" w:rsidRDefault="00013B22" w:rsidP="00990A76">
            <w:pPr>
              <w:rPr>
                <w:rFonts w:ascii="Arial" w:hAnsi="Arial" w:cs="Arial"/>
                <w:b/>
                <w:bCs/>
              </w:rPr>
            </w:pPr>
            <w:r>
              <w:rPr>
                <w:rFonts w:ascii="Arial" w:hAnsi="Arial" w:cs="Arial"/>
                <w:b/>
                <w:bCs/>
              </w:rPr>
              <w:t>Services Rendered</w:t>
            </w:r>
          </w:p>
        </w:tc>
        <w:tc>
          <w:tcPr>
            <w:tcW w:w="2040" w:type="dxa"/>
            <w:tcBorders>
              <w:top w:val="single" w:sz="4" w:space="0" w:color="auto"/>
              <w:left w:val="nil"/>
              <w:bottom w:val="single" w:sz="4" w:space="0" w:color="auto"/>
              <w:right w:val="single" w:sz="4" w:space="0" w:color="auto"/>
            </w:tcBorders>
            <w:shd w:val="clear" w:color="000000" w:fill="BFBFBF"/>
            <w:noWrap/>
            <w:vAlign w:val="bottom"/>
            <w:hideMark/>
          </w:tcPr>
          <w:p w:rsidR="00013B22" w:rsidRPr="00CA25D8" w:rsidRDefault="00013B22" w:rsidP="00990A76">
            <w:pPr>
              <w:rPr>
                <w:rFonts w:ascii="Arial" w:hAnsi="Arial" w:cs="Arial"/>
                <w:b/>
                <w:bCs/>
              </w:rPr>
            </w:pPr>
            <w:r w:rsidRPr="00CA25D8">
              <w:rPr>
                <w:rFonts w:ascii="Arial" w:hAnsi="Arial" w:cs="Arial"/>
                <w:b/>
                <w:bCs/>
              </w:rPr>
              <w:t>Total Spend</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2008</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Litigation</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Pr>
                <w:rFonts w:ascii="Arial" w:hAnsi="Arial" w:cs="Arial"/>
              </w:rPr>
              <w:t xml:space="preserve">R </w:t>
            </w:r>
            <w:r w:rsidRPr="00CA25D8">
              <w:rPr>
                <w:rFonts w:ascii="Arial" w:hAnsi="Arial" w:cs="Arial"/>
              </w:rPr>
              <w:t xml:space="preserve">788,773.92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2009</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Litigation</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1,547,889.36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2010</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Litigation (Equity Aviation)</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545,592.08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2011</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Labour</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3,867.45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2012</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Litigation (Equity Aviation)</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110,502.48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2013</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Labour Matter</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175,165.09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2014</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Labour Matter</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252,550.78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2015</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Pr>
                <w:rFonts w:ascii="Arial" w:hAnsi="Arial" w:cs="Arial"/>
              </w:rPr>
              <w:t>Aircraft Leasing</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1,199,031.66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2016</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Labour Matter</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524,399.20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2017</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Labour Matter</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14,801.88 </w:t>
            </w:r>
          </w:p>
        </w:tc>
      </w:tr>
      <w:tr w:rsidR="00013B22" w:rsidRPr="00CA25D8" w:rsidTr="00990A76">
        <w:trPr>
          <w:trHeight w:val="31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2018</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Intellectual Property (Release of Mortgage)</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93,678.28 </w:t>
            </w:r>
          </w:p>
        </w:tc>
      </w:tr>
      <w:tr w:rsidR="00013B22" w:rsidRPr="00CA25D8" w:rsidTr="00990A76">
        <w:trPr>
          <w:trHeight w:val="255"/>
        </w:trPr>
        <w:tc>
          <w:tcPr>
            <w:tcW w:w="1450" w:type="dxa"/>
            <w:tcBorders>
              <w:top w:val="nil"/>
              <w:left w:val="single" w:sz="4" w:space="0" w:color="auto"/>
              <w:bottom w:val="single" w:sz="4" w:space="0" w:color="auto"/>
              <w:right w:val="single" w:sz="4" w:space="0" w:color="auto"/>
            </w:tcBorders>
            <w:shd w:val="clear" w:color="auto" w:fill="auto"/>
            <w:noWrap/>
            <w:vAlign w:val="bottom"/>
            <w:hideMark/>
          </w:tcPr>
          <w:p w:rsidR="00013B22" w:rsidRPr="00CA25D8" w:rsidRDefault="00013B22" w:rsidP="00990A76">
            <w:pPr>
              <w:jc w:val="right"/>
              <w:rPr>
                <w:rFonts w:ascii="Arial" w:hAnsi="Arial" w:cs="Arial"/>
              </w:rPr>
            </w:pPr>
            <w:r w:rsidRPr="00CA25D8">
              <w:rPr>
                <w:rFonts w:ascii="Arial" w:hAnsi="Arial" w:cs="Arial"/>
              </w:rPr>
              <w:t>2019</w:t>
            </w:r>
          </w:p>
        </w:tc>
        <w:tc>
          <w:tcPr>
            <w:tcW w:w="1973"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Werksman Attorneys</w:t>
            </w:r>
          </w:p>
        </w:tc>
        <w:tc>
          <w:tcPr>
            <w:tcW w:w="4017"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Labour Matter Steven Poprawa</w:t>
            </w:r>
          </w:p>
        </w:tc>
        <w:tc>
          <w:tcPr>
            <w:tcW w:w="2040" w:type="dxa"/>
            <w:tcBorders>
              <w:top w:val="nil"/>
              <w:left w:val="nil"/>
              <w:bottom w:val="single" w:sz="4" w:space="0" w:color="auto"/>
              <w:right w:val="single" w:sz="4" w:space="0" w:color="auto"/>
            </w:tcBorders>
            <w:shd w:val="clear" w:color="auto" w:fill="auto"/>
            <w:noWrap/>
            <w:vAlign w:val="bottom"/>
            <w:hideMark/>
          </w:tcPr>
          <w:p w:rsidR="00013B22" w:rsidRPr="00CA25D8" w:rsidRDefault="00013B22" w:rsidP="00990A76">
            <w:pPr>
              <w:rPr>
                <w:rFonts w:ascii="Arial" w:hAnsi="Arial" w:cs="Arial"/>
              </w:rPr>
            </w:pPr>
            <w:r w:rsidRPr="00CA25D8">
              <w:rPr>
                <w:rFonts w:ascii="Arial" w:hAnsi="Arial" w:cs="Arial"/>
              </w:rPr>
              <w:t xml:space="preserve">R 865,004.93 </w:t>
            </w:r>
          </w:p>
        </w:tc>
      </w:tr>
      <w:tr w:rsidR="00013B22" w:rsidRPr="00CA25D8" w:rsidTr="00990A76">
        <w:trPr>
          <w:trHeight w:val="270"/>
        </w:trPr>
        <w:tc>
          <w:tcPr>
            <w:tcW w:w="1450" w:type="dxa"/>
            <w:tcBorders>
              <w:top w:val="nil"/>
              <w:left w:val="nil"/>
              <w:bottom w:val="nil"/>
              <w:right w:val="nil"/>
            </w:tcBorders>
            <w:shd w:val="clear" w:color="auto" w:fill="auto"/>
            <w:noWrap/>
            <w:vAlign w:val="bottom"/>
            <w:hideMark/>
          </w:tcPr>
          <w:p w:rsidR="00013B22" w:rsidRPr="00CA25D8" w:rsidRDefault="00013B22" w:rsidP="00990A76">
            <w:pPr>
              <w:rPr>
                <w:rFonts w:ascii="Arial" w:hAnsi="Arial" w:cs="Arial"/>
              </w:rPr>
            </w:pPr>
          </w:p>
        </w:tc>
        <w:tc>
          <w:tcPr>
            <w:tcW w:w="1973" w:type="dxa"/>
            <w:tcBorders>
              <w:top w:val="nil"/>
              <w:left w:val="nil"/>
              <w:bottom w:val="nil"/>
              <w:right w:val="nil"/>
            </w:tcBorders>
            <w:shd w:val="clear" w:color="auto" w:fill="auto"/>
            <w:noWrap/>
            <w:vAlign w:val="bottom"/>
            <w:hideMark/>
          </w:tcPr>
          <w:p w:rsidR="00013B22" w:rsidRPr="00CA25D8" w:rsidRDefault="00013B22" w:rsidP="00990A76"/>
        </w:tc>
        <w:tc>
          <w:tcPr>
            <w:tcW w:w="4017" w:type="dxa"/>
            <w:tcBorders>
              <w:top w:val="nil"/>
              <w:left w:val="nil"/>
              <w:bottom w:val="nil"/>
              <w:right w:val="nil"/>
            </w:tcBorders>
            <w:shd w:val="clear" w:color="auto" w:fill="auto"/>
            <w:noWrap/>
            <w:vAlign w:val="bottom"/>
            <w:hideMark/>
          </w:tcPr>
          <w:p w:rsidR="00013B22" w:rsidRPr="00CA25D8" w:rsidRDefault="00013B22" w:rsidP="00990A76"/>
        </w:tc>
        <w:tc>
          <w:tcPr>
            <w:tcW w:w="2040" w:type="dxa"/>
            <w:tcBorders>
              <w:top w:val="nil"/>
              <w:left w:val="nil"/>
              <w:bottom w:val="nil"/>
              <w:right w:val="nil"/>
            </w:tcBorders>
            <w:shd w:val="clear" w:color="auto" w:fill="auto"/>
            <w:noWrap/>
            <w:vAlign w:val="bottom"/>
            <w:hideMark/>
          </w:tcPr>
          <w:p w:rsidR="00013B22" w:rsidRPr="00CA25D8" w:rsidRDefault="00013B22" w:rsidP="00990A76"/>
        </w:tc>
      </w:tr>
      <w:tr w:rsidR="00013B22" w:rsidRPr="00624FFA" w:rsidTr="00990A76">
        <w:trPr>
          <w:trHeight w:val="270"/>
        </w:trPr>
        <w:tc>
          <w:tcPr>
            <w:tcW w:w="1450" w:type="dxa"/>
            <w:tcBorders>
              <w:top w:val="nil"/>
              <w:left w:val="nil"/>
              <w:bottom w:val="nil"/>
              <w:right w:val="nil"/>
            </w:tcBorders>
            <w:shd w:val="clear" w:color="auto" w:fill="auto"/>
            <w:noWrap/>
            <w:vAlign w:val="bottom"/>
            <w:hideMark/>
          </w:tcPr>
          <w:p w:rsidR="00013B22" w:rsidRPr="00624FFA" w:rsidRDefault="00013B22" w:rsidP="00990A76">
            <w:pPr>
              <w:spacing w:line="360" w:lineRule="auto"/>
              <w:contextualSpacing/>
              <w:rPr>
                <w:rFonts w:ascii="Arial" w:hAnsi="Arial" w:cs="Arial"/>
              </w:rPr>
            </w:pPr>
          </w:p>
        </w:tc>
        <w:tc>
          <w:tcPr>
            <w:tcW w:w="1973" w:type="dxa"/>
            <w:tcBorders>
              <w:top w:val="nil"/>
              <w:left w:val="nil"/>
              <w:bottom w:val="nil"/>
              <w:right w:val="nil"/>
            </w:tcBorders>
            <w:shd w:val="clear" w:color="auto" w:fill="auto"/>
            <w:noWrap/>
            <w:vAlign w:val="bottom"/>
            <w:hideMark/>
          </w:tcPr>
          <w:p w:rsidR="00013B22" w:rsidRPr="00624FFA" w:rsidRDefault="00013B22" w:rsidP="00990A76">
            <w:pPr>
              <w:spacing w:line="360" w:lineRule="auto"/>
              <w:contextualSpacing/>
              <w:rPr>
                <w:rFonts w:ascii="Arial" w:hAnsi="Arial" w:cs="Arial"/>
              </w:rPr>
            </w:pPr>
          </w:p>
        </w:tc>
        <w:tc>
          <w:tcPr>
            <w:tcW w:w="4017" w:type="dxa"/>
            <w:tcBorders>
              <w:top w:val="nil"/>
              <w:left w:val="nil"/>
              <w:bottom w:val="nil"/>
              <w:right w:val="nil"/>
            </w:tcBorders>
            <w:shd w:val="clear" w:color="auto" w:fill="auto"/>
            <w:noWrap/>
            <w:vAlign w:val="bottom"/>
            <w:hideMark/>
          </w:tcPr>
          <w:p w:rsidR="00013B22" w:rsidRPr="00624FFA" w:rsidRDefault="00013B22" w:rsidP="00990A76">
            <w:pPr>
              <w:spacing w:line="360" w:lineRule="auto"/>
              <w:contextualSpacing/>
              <w:rPr>
                <w:rFonts w:ascii="Arial" w:hAnsi="Arial" w:cs="Arial"/>
              </w:rPr>
            </w:pPr>
          </w:p>
        </w:tc>
        <w:tc>
          <w:tcPr>
            <w:tcW w:w="204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013B22" w:rsidRPr="00624FFA" w:rsidRDefault="00013B22" w:rsidP="00990A76">
            <w:pPr>
              <w:spacing w:line="360" w:lineRule="auto"/>
              <w:contextualSpacing/>
              <w:rPr>
                <w:rFonts w:ascii="Arial" w:hAnsi="Arial" w:cs="Arial"/>
              </w:rPr>
            </w:pPr>
            <w:r w:rsidRPr="00624FFA">
              <w:rPr>
                <w:rFonts w:ascii="Arial" w:hAnsi="Arial" w:cs="Arial"/>
              </w:rPr>
              <w:t xml:space="preserve">R6,121,257.11 </w:t>
            </w:r>
          </w:p>
        </w:tc>
      </w:tr>
    </w:tbl>
    <w:p w:rsidR="00013B22" w:rsidRPr="00624FFA" w:rsidRDefault="00013B22" w:rsidP="00013B22">
      <w:pPr>
        <w:spacing w:line="360" w:lineRule="auto"/>
        <w:contextualSpacing/>
        <w:rPr>
          <w:rFonts w:ascii="Arial" w:hAnsi="Arial" w:cs="Arial"/>
        </w:rPr>
      </w:pPr>
      <w:r w:rsidRPr="00624FFA">
        <w:rPr>
          <w:rFonts w:ascii="Arial" w:hAnsi="Arial" w:cs="Arial"/>
        </w:rPr>
        <w:t xml:space="preserve">SAA is not aware of any Werksmans affiliated companies that were paid </w:t>
      </w:r>
      <w:r>
        <w:rPr>
          <w:rFonts w:ascii="Arial" w:hAnsi="Arial" w:cs="Arial"/>
        </w:rPr>
        <w:tab/>
      </w:r>
      <w:r w:rsidRPr="00624FFA">
        <w:rPr>
          <w:rFonts w:ascii="Arial" w:hAnsi="Arial" w:cs="Arial"/>
        </w:rPr>
        <w:t xml:space="preserve">for the rendering of the above mentioned companies. All invoices received </w:t>
      </w:r>
      <w:r>
        <w:rPr>
          <w:rFonts w:ascii="Arial" w:hAnsi="Arial" w:cs="Arial"/>
        </w:rPr>
        <w:tab/>
      </w:r>
      <w:r w:rsidRPr="00624FFA">
        <w:rPr>
          <w:rFonts w:ascii="Arial" w:hAnsi="Arial" w:cs="Arial"/>
        </w:rPr>
        <w:t>from Werksmans were paid directly to them.</w:t>
      </w:r>
    </w:p>
    <w:p w:rsidR="00013B22" w:rsidRPr="00624FFA" w:rsidRDefault="00013B22" w:rsidP="00013B22">
      <w:pPr>
        <w:spacing w:line="360" w:lineRule="auto"/>
        <w:contextualSpacing/>
        <w:rPr>
          <w:rFonts w:ascii="Arial" w:hAnsi="Arial" w:cs="Arial"/>
        </w:rPr>
      </w:pPr>
    </w:p>
    <w:p w:rsidR="00013B22" w:rsidRPr="00624FFA" w:rsidRDefault="00013B22" w:rsidP="00013B22">
      <w:pPr>
        <w:spacing w:line="360" w:lineRule="auto"/>
        <w:contextualSpacing/>
        <w:rPr>
          <w:rFonts w:ascii="Arial" w:hAnsi="Arial" w:cs="Arial"/>
        </w:rPr>
      </w:pPr>
      <w:r w:rsidRPr="00624FFA">
        <w:rPr>
          <w:rFonts w:ascii="Arial" w:hAnsi="Arial" w:cs="Arial"/>
        </w:rPr>
        <w:t>This level of information is normally not kept by the legal department. The duration of each contract is always dependent the type of matter and any complexities presented. Litigation matters would normally last longer compared to corporate advisory and transactional work. We will commence collation of this information for future reporting.</w:t>
      </w:r>
    </w:p>
    <w:p w:rsidR="00013B22" w:rsidRPr="00624FFA" w:rsidRDefault="00013B22" w:rsidP="00013B22">
      <w:pPr>
        <w:spacing w:line="360" w:lineRule="auto"/>
        <w:contextualSpacing/>
        <w:rPr>
          <w:rFonts w:ascii="Arial" w:hAnsi="Arial" w:cs="Arial"/>
        </w:rPr>
      </w:pPr>
    </w:p>
    <w:p w:rsidR="00013B22" w:rsidRPr="00624FFA" w:rsidRDefault="00013B22" w:rsidP="00013B22">
      <w:pPr>
        <w:spacing w:line="360" w:lineRule="auto"/>
        <w:contextualSpacing/>
        <w:rPr>
          <w:rFonts w:ascii="Arial" w:hAnsi="Arial" w:cs="Arial"/>
        </w:rPr>
      </w:pPr>
      <w:r>
        <w:rPr>
          <w:rFonts w:ascii="Arial" w:hAnsi="Arial" w:cs="Arial"/>
        </w:rPr>
        <w:t>(d)</w:t>
      </w:r>
      <w:r>
        <w:rPr>
          <w:rFonts w:ascii="Arial" w:hAnsi="Arial" w:cs="Arial"/>
        </w:rPr>
        <w:tab/>
      </w:r>
      <w:r w:rsidRPr="00624FFA">
        <w:rPr>
          <w:rFonts w:ascii="Arial" w:hAnsi="Arial" w:cs="Arial"/>
        </w:rPr>
        <w:t xml:space="preserve">The procurement of the services followed a supply chain process and </w:t>
      </w:r>
      <w:r>
        <w:rPr>
          <w:rFonts w:ascii="Arial" w:hAnsi="Arial" w:cs="Arial"/>
        </w:rPr>
        <w:tab/>
      </w:r>
      <w:r w:rsidRPr="00624FFA">
        <w:rPr>
          <w:rFonts w:ascii="Arial" w:hAnsi="Arial" w:cs="Arial"/>
        </w:rPr>
        <w:t xml:space="preserve">were sourced either through the panel of service providers or the RFQ </w:t>
      </w:r>
      <w:r>
        <w:rPr>
          <w:rFonts w:ascii="Arial" w:hAnsi="Arial" w:cs="Arial"/>
        </w:rPr>
        <w:tab/>
      </w:r>
      <w:r w:rsidRPr="00624FFA">
        <w:rPr>
          <w:rFonts w:ascii="Arial" w:hAnsi="Arial" w:cs="Arial"/>
        </w:rPr>
        <w:t xml:space="preserve">process and were signed off by procurement as the custodian of the </w:t>
      </w:r>
      <w:r>
        <w:rPr>
          <w:rFonts w:ascii="Arial" w:hAnsi="Arial" w:cs="Arial"/>
        </w:rPr>
        <w:tab/>
      </w:r>
      <w:r w:rsidRPr="00624FFA">
        <w:rPr>
          <w:rFonts w:ascii="Arial" w:hAnsi="Arial" w:cs="Arial"/>
        </w:rPr>
        <w:t>procurement process.</w:t>
      </w:r>
      <w:r>
        <w:rPr>
          <w:rFonts w:ascii="Arial" w:hAnsi="Arial" w:cs="Arial"/>
        </w:rPr>
        <w:t xml:space="preserve"> E</w:t>
      </w:r>
      <w:r w:rsidRPr="00624FFA">
        <w:rPr>
          <w:rFonts w:ascii="Arial" w:hAnsi="Arial" w:cs="Arial"/>
        </w:rPr>
        <w:t xml:space="preserve">ach contract entered into with Werksmans was or </w:t>
      </w:r>
      <w:r>
        <w:rPr>
          <w:rFonts w:ascii="Arial" w:hAnsi="Arial" w:cs="Arial"/>
        </w:rPr>
        <w:tab/>
      </w:r>
      <w:r w:rsidRPr="00624FFA">
        <w:rPr>
          <w:rFonts w:ascii="Arial" w:hAnsi="Arial" w:cs="Arial"/>
        </w:rPr>
        <w:t>is in line with the PFMA and relevant departmental regulations.</w:t>
      </w:r>
    </w:p>
    <w:p w:rsidR="00626B36" w:rsidRDefault="00626B36" w:rsidP="00B80815">
      <w:pPr>
        <w:autoSpaceDE w:val="0"/>
        <w:autoSpaceDN w:val="0"/>
        <w:adjustRightInd w:val="0"/>
        <w:rPr>
          <w:rFonts w:ascii="Arial" w:hAnsi="Arial" w:cs="Arial"/>
          <w:b/>
          <w:color w:val="000000"/>
        </w:rPr>
      </w:pPr>
    </w:p>
    <w:p w:rsidR="008E25FB" w:rsidRPr="008E25FB" w:rsidRDefault="00096CE8" w:rsidP="00B80815">
      <w:pPr>
        <w:autoSpaceDE w:val="0"/>
        <w:autoSpaceDN w:val="0"/>
        <w:adjustRightInd w:val="0"/>
        <w:rPr>
          <w:rFonts w:ascii="Arial" w:hAnsi="Arial" w:cs="Arial"/>
          <w:b/>
          <w:color w:val="000000"/>
        </w:rPr>
      </w:pPr>
      <w:r>
        <w:rPr>
          <w:rFonts w:ascii="Arial" w:hAnsi="Arial" w:cs="Arial"/>
          <w:b/>
        </w:rPr>
        <w:t xml:space="preserve">According to the information received from </w:t>
      </w:r>
      <w:r w:rsidR="008E25FB" w:rsidRPr="008E25FB">
        <w:rPr>
          <w:rFonts w:ascii="Arial" w:hAnsi="Arial" w:cs="Arial"/>
          <w:b/>
          <w:color w:val="000000"/>
        </w:rPr>
        <w:t xml:space="preserve">SAFCOL SOC LTD </w:t>
      </w:r>
    </w:p>
    <w:p w:rsidR="008E25FB" w:rsidRPr="008E25FB" w:rsidRDefault="008E25FB" w:rsidP="008E25FB">
      <w:pPr>
        <w:spacing w:before="100" w:beforeAutospacing="1" w:after="100" w:afterAutospacing="1" w:line="276" w:lineRule="auto"/>
        <w:ind w:left="720" w:hanging="720"/>
        <w:jc w:val="both"/>
        <w:outlineLvl w:val="0"/>
        <w:rPr>
          <w:rFonts w:ascii="Arial" w:eastAsia="Calibri" w:hAnsi="Arial" w:cs="Arial"/>
          <w:sz w:val="22"/>
          <w:szCs w:val="22"/>
          <w:lang w:val="en-ZA"/>
        </w:rPr>
      </w:pPr>
      <w:r w:rsidRPr="008E25FB">
        <w:rPr>
          <w:rFonts w:ascii="Arial" w:eastAsia="Calibri" w:hAnsi="Arial" w:cs="Arial"/>
          <w:sz w:val="22"/>
          <w:szCs w:val="22"/>
          <w:lang w:val="en-ZA"/>
        </w:rPr>
        <w:t>Werksman Attorneys February 2018 – August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317"/>
        <w:gridCol w:w="1378"/>
        <w:gridCol w:w="1085"/>
        <w:gridCol w:w="1158"/>
        <w:gridCol w:w="1048"/>
        <w:gridCol w:w="1476"/>
      </w:tblGrid>
      <w:tr w:rsidR="008E25FB" w:rsidRPr="004C78AC" w:rsidTr="004C78AC">
        <w:tc>
          <w:tcPr>
            <w:tcW w:w="1154"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Reference</w:t>
            </w:r>
          </w:p>
        </w:tc>
        <w:tc>
          <w:tcPr>
            <w:tcW w:w="1231"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Description</w:t>
            </w:r>
          </w:p>
        </w:tc>
        <w:tc>
          <w:tcPr>
            <w:tcW w:w="1288"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Service Provider</w:t>
            </w:r>
          </w:p>
        </w:tc>
        <w:tc>
          <w:tcPr>
            <w:tcW w:w="1017"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Date Awarded</w:t>
            </w:r>
          </w:p>
        </w:tc>
        <w:tc>
          <w:tcPr>
            <w:tcW w:w="1085"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Contract Approved</w:t>
            </w:r>
          </w:p>
        </w:tc>
        <w:tc>
          <w:tcPr>
            <w:tcW w:w="983"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Contract Period</w:t>
            </w:r>
          </w:p>
        </w:tc>
        <w:tc>
          <w:tcPr>
            <w:tcW w:w="1378" w:type="dxa"/>
            <w:shd w:val="clear" w:color="auto" w:fill="70AD47"/>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Bid Amount</w:t>
            </w:r>
          </w:p>
        </w:tc>
      </w:tr>
      <w:tr w:rsidR="008E25FB" w:rsidRPr="004C78AC" w:rsidTr="004C78AC">
        <w:tc>
          <w:tcPr>
            <w:tcW w:w="1154"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1.</w:t>
            </w:r>
          </w:p>
        </w:tc>
        <w:tc>
          <w:tcPr>
            <w:tcW w:w="1231"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Legal Services</w:t>
            </w:r>
          </w:p>
        </w:tc>
        <w:tc>
          <w:tcPr>
            <w:tcW w:w="1288"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Werksmans Attorneys</w:t>
            </w:r>
          </w:p>
        </w:tc>
        <w:tc>
          <w:tcPr>
            <w:tcW w:w="1017"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None</w:t>
            </w:r>
          </w:p>
        </w:tc>
        <w:tc>
          <w:tcPr>
            <w:tcW w:w="1085"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None</w:t>
            </w:r>
          </w:p>
        </w:tc>
        <w:tc>
          <w:tcPr>
            <w:tcW w:w="983"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None</w:t>
            </w:r>
          </w:p>
        </w:tc>
        <w:tc>
          <w:tcPr>
            <w:tcW w:w="1378" w:type="dxa"/>
            <w:shd w:val="clear" w:color="auto" w:fill="auto"/>
          </w:tcPr>
          <w:p w:rsidR="008E25FB" w:rsidRPr="008E25FB" w:rsidRDefault="008E25FB" w:rsidP="004C78AC">
            <w:pPr>
              <w:spacing w:before="100" w:beforeAutospacing="1" w:after="100" w:afterAutospacing="1" w:line="276" w:lineRule="auto"/>
              <w:jc w:val="both"/>
              <w:outlineLvl w:val="0"/>
              <w:rPr>
                <w:rFonts w:ascii="Arial" w:eastAsia="Calibri" w:hAnsi="Arial" w:cs="Arial"/>
                <w:sz w:val="22"/>
                <w:szCs w:val="22"/>
                <w:lang w:val="en-ZA"/>
              </w:rPr>
            </w:pPr>
            <w:r w:rsidRPr="008E25FB">
              <w:rPr>
                <w:rFonts w:ascii="Arial" w:eastAsia="Calibri" w:hAnsi="Arial" w:cs="Arial"/>
                <w:sz w:val="22"/>
                <w:szCs w:val="22"/>
                <w:lang w:val="en-ZA"/>
              </w:rPr>
              <w:t>R119 752,31</w:t>
            </w:r>
          </w:p>
        </w:tc>
      </w:tr>
    </w:tbl>
    <w:p w:rsidR="008E25FB" w:rsidRDefault="008E25FB" w:rsidP="00B80815">
      <w:pPr>
        <w:autoSpaceDE w:val="0"/>
        <w:autoSpaceDN w:val="0"/>
        <w:adjustRightInd w:val="0"/>
        <w:rPr>
          <w:rFonts w:ascii="Arial" w:hAnsi="Arial" w:cs="Arial"/>
          <w:color w:val="000000"/>
        </w:rPr>
      </w:pPr>
    </w:p>
    <w:p w:rsidR="00626B36" w:rsidRPr="00626B36" w:rsidRDefault="00626B36" w:rsidP="00626B36">
      <w:pPr>
        <w:numPr>
          <w:ilvl w:val="0"/>
          <w:numId w:val="11"/>
        </w:numPr>
        <w:ind w:left="270" w:hanging="450"/>
        <w:contextualSpacing/>
        <w:jc w:val="both"/>
        <w:rPr>
          <w:rFonts w:ascii="Arial" w:eastAsia="Calibri" w:hAnsi="Arial" w:cs="Arial"/>
          <w:sz w:val="22"/>
          <w:szCs w:val="22"/>
          <w:lang w:val="en-ZA"/>
        </w:rPr>
      </w:pPr>
      <w:r w:rsidRPr="00626B36">
        <w:rPr>
          <w:rFonts w:ascii="Arial" w:eastAsia="Calibri" w:hAnsi="Arial" w:cs="Arial"/>
          <w:sz w:val="22"/>
          <w:szCs w:val="22"/>
          <w:lang w:val="en-ZA"/>
        </w:rPr>
        <w:t>The contract value is not known as there was no contract between SAFCOL and Werksmans Attorneys. However, expenses incurred from February 2018 to August 2019 amounted to R119 752, 31.</w:t>
      </w:r>
    </w:p>
    <w:p w:rsidR="00626B36" w:rsidRPr="00626B36" w:rsidRDefault="00626B36" w:rsidP="00626B36">
      <w:pPr>
        <w:numPr>
          <w:ilvl w:val="0"/>
          <w:numId w:val="11"/>
        </w:numPr>
        <w:spacing w:before="100" w:beforeAutospacing="1" w:after="100" w:afterAutospacing="1"/>
        <w:ind w:left="270" w:hanging="450"/>
        <w:contextualSpacing/>
        <w:jc w:val="both"/>
        <w:outlineLvl w:val="0"/>
        <w:rPr>
          <w:rFonts w:ascii="Arial" w:eastAsia="Calibri" w:hAnsi="Arial" w:cs="Arial"/>
          <w:sz w:val="22"/>
          <w:szCs w:val="22"/>
          <w:lang w:val="en-ZA"/>
        </w:rPr>
      </w:pPr>
      <w:r w:rsidRPr="00626B36">
        <w:rPr>
          <w:rFonts w:ascii="Arial" w:eastAsia="Calibri" w:hAnsi="Arial" w:cs="Arial"/>
          <w:sz w:val="22"/>
          <w:szCs w:val="22"/>
          <w:lang w:val="en-ZA"/>
        </w:rPr>
        <w:t>The exact date during which the contract was awarded to Werksmans Attorneys is not known. However, the instruction to request Werksmans Attorneys to carry out work for SAFCOL was around August 2015.</w:t>
      </w:r>
    </w:p>
    <w:p w:rsidR="00626B36" w:rsidRPr="00626B36" w:rsidRDefault="00626B36" w:rsidP="00626B36">
      <w:pPr>
        <w:numPr>
          <w:ilvl w:val="0"/>
          <w:numId w:val="11"/>
        </w:numPr>
        <w:spacing w:before="100" w:beforeAutospacing="1" w:after="100" w:afterAutospacing="1"/>
        <w:ind w:left="270" w:hanging="450"/>
        <w:contextualSpacing/>
        <w:jc w:val="both"/>
        <w:outlineLvl w:val="0"/>
        <w:rPr>
          <w:rFonts w:ascii="Arial" w:eastAsia="Calibri" w:hAnsi="Arial" w:cs="Arial"/>
          <w:sz w:val="22"/>
          <w:szCs w:val="22"/>
          <w:lang w:val="en-ZA"/>
        </w:rPr>
      </w:pPr>
      <w:r w:rsidRPr="00626B36">
        <w:rPr>
          <w:rFonts w:ascii="Arial" w:eastAsia="Calibri" w:hAnsi="Arial" w:cs="Arial"/>
          <w:sz w:val="22"/>
          <w:szCs w:val="22"/>
          <w:lang w:val="en-ZA"/>
        </w:rPr>
        <w:t>Werksman Attorneys scope of work was to initiate and preside over disciplinary hearings for certain employees.</w:t>
      </w:r>
    </w:p>
    <w:p w:rsidR="00626B36" w:rsidRPr="00626B36" w:rsidRDefault="00626B36" w:rsidP="00626B36">
      <w:pPr>
        <w:numPr>
          <w:ilvl w:val="0"/>
          <w:numId w:val="11"/>
        </w:numPr>
        <w:spacing w:before="100" w:beforeAutospacing="1" w:after="100" w:afterAutospacing="1"/>
        <w:ind w:left="270" w:hanging="450"/>
        <w:contextualSpacing/>
        <w:jc w:val="both"/>
        <w:outlineLvl w:val="0"/>
        <w:rPr>
          <w:rFonts w:ascii="Arial" w:eastAsia="Calibri" w:hAnsi="Arial" w:cs="Arial"/>
          <w:sz w:val="22"/>
          <w:szCs w:val="22"/>
          <w:lang w:val="en-ZA"/>
        </w:rPr>
      </w:pPr>
      <w:r w:rsidRPr="00626B36">
        <w:rPr>
          <w:rFonts w:ascii="Arial" w:eastAsia="Calibri" w:hAnsi="Arial" w:cs="Arial"/>
          <w:sz w:val="22"/>
          <w:szCs w:val="22"/>
          <w:lang w:val="en-ZA"/>
        </w:rPr>
        <w:t>The instruction to Werksmans Attorneys was approved by Ms Nomkhita Mona (former CEO), Ms Zoliswa Mashinini (former CFO) and Francois de Villiers (former COO).</w:t>
      </w:r>
    </w:p>
    <w:p w:rsidR="00626B36" w:rsidRDefault="00626B36" w:rsidP="00B80815">
      <w:pPr>
        <w:autoSpaceDE w:val="0"/>
        <w:autoSpaceDN w:val="0"/>
        <w:adjustRightInd w:val="0"/>
        <w:rPr>
          <w:rFonts w:ascii="Arial" w:hAnsi="Arial" w:cs="Arial"/>
          <w:color w:val="000000"/>
        </w:rPr>
      </w:pPr>
    </w:p>
    <w:p w:rsidR="00626B36" w:rsidRDefault="00626B36" w:rsidP="00B80815">
      <w:pPr>
        <w:autoSpaceDE w:val="0"/>
        <w:autoSpaceDN w:val="0"/>
        <w:adjustRightInd w:val="0"/>
        <w:rPr>
          <w:rFonts w:ascii="Arial" w:hAnsi="Arial" w:cs="Arial"/>
          <w:color w:val="000000"/>
        </w:rPr>
      </w:pPr>
    </w:p>
    <w:p w:rsidR="00013B22" w:rsidRDefault="00013B22" w:rsidP="00B80815">
      <w:pPr>
        <w:autoSpaceDE w:val="0"/>
        <w:autoSpaceDN w:val="0"/>
        <w:adjustRightInd w:val="0"/>
        <w:rPr>
          <w:rFonts w:ascii="Arial" w:hAnsi="Arial" w:cs="Arial"/>
          <w:color w:val="000000"/>
        </w:rPr>
      </w:pPr>
    </w:p>
    <w:p w:rsidR="00013B22" w:rsidRDefault="00013B22" w:rsidP="00B80815">
      <w:pPr>
        <w:autoSpaceDE w:val="0"/>
        <w:autoSpaceDN w:val="0"/>
        <w:adjustRightInd w:val="0"/>
        <w:rPr>
          <w:rFonts w:ascii="Arial" w:hAnsi="Arial" w:cs="Arial"/>
          <w:color w:val="000000"/>
        </w:rPr>
      </w:pPr>
    </w:p>
    <w:p w:rsidR="00013B22" w:rsidRDefault="00013B22" w:rsidP="00B80815">
      <w:pPr>
        <w:autoSpaceDE w:val="0"/>
        <w:autoSpaceDN w:val="0"/>
        <w:adjustRightInd w:val="0"/>
        <w:rPr>
          <w:rFonts w:ascii="Arial" w:hAnsi="Arial" w:cs="Arial"/>
          <w:color w:val="000000"/>
        </w:rPr>
      </w:pPr>
    </w:p>
    <w:p w:rsidR="00013B22" w:rsidRDefault="00013B22" w:rsidP="00B80815">
      <w:pPr>
        <w:autoSpaceDE w:val="0"/>
        <w:autoSpaceDN w:val="0"/>
        <w:adjustRightInd w:val="0"/>
        <w:rPr>
          <w:rFonts w:ascii="Arial" w:hAnsi="Arial" w:cs="Arial"/>
          <w:color w:val="000000"/>
        </w:rPr>
      </w:pPr>
    </w:p>
    <w:p w:rsidR="00B80815" w:rsidRPr="0091568C" w:rsidRDefault="00096CE8" w:rsidP="00E02586">
      <w:pPr>
        <w:rPr>
          <w:rFonts w:ascii="Arial" w:hAnsi="Arial" w:cs="Arial"/>
          <w:b/>
        </w:rPr>
      </w:pPr>
      <w:r>
        <w:rPr>
          <w:rFonts w:ascii="Arial" w:hAnsi="Arial" w:cs="Arial"/>
          <w:b/>
        </w:rPr>
        <w:t xml:space="preserve">According to the information received from </w:t>
      </w:r>
      <w:r w:rsidR="0091568C" w:rsidRPr="0091568C">
        <w:rPr>
          <w:rFonts w:ascii="Arial" w:hAnsi="Arial" w:cs="Arial"/>
          <w:b/>
        </w:rPr>
        <w:t xml:space="preserve">SAX </w:t>
      </w:r>
      <w:r w:rsidR="008E25FB">
        <w:rPr>
          <w:rFonts w:ascii="Arial" w:hAnsi="Arial" w:cs="Arial"/>
          <w:b/>
        </w:rPr>
        <w:t>SOC LTD</w:t>
      </w:r>
      <w:r w:rsidR="0091568C" w:rsidRPr="0091568C">
        <w:rPr>
          <w:rFonts w:ascii="Arial" w:hAnsi="Arial" w:cs="Arial"/>
          <w:b/>
        </w:rPr>
        <w:t xml:space="preserve"> </w:t>
      </w:r>
    </w:p>
    <w:p w:rsidR="007B55B5" w:rsidRDefault="007B55B5" w:rsidP="00E02586">
      <w:pPr>
        <w:rPr>
          <w:rFonts w:ascii="Arial" w:hAnsi="Arial" w:cs="Arial"/>
          <w:b/>
        </w:rPr>
      </w:pPr>
    </w:p>
    <w:tbl>
      <w:tblPr>
        <w:tblW w:w="0" w:type="auto"/>
        <w:tblCellMar>
          <w:left w:w="0" w:type="dxa"/>
          <w:right w:w="0" w:type="dxa"/>
        </w:tblCellMar>
        <w:tblLook w:val="04A0"/>
      </w:tblPr>
      <w:tblGrid>
        <w:gridCol w:w="2126"/>
        <w:gridCol w:w="6730"/>
      </w:tblGrid>
      <w:tr w:rsidR="007B55B5" w:rsidRPr="00460622" w:rsidTr="008E25F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b/>
                <w:bCs/>
                <w:sz w:val="21"/>
                <w:szCs w:val="21"/>
                <w:lang w:val="en-ZA"/>
              </w:rPr>
            </w:pPr>
            <w:r w:rsidRPr="00460622">
              <w:rPr>
                <w:rFonts w:ascii="Arial" w:hAnsi="Arial" w:cs="Arial"/>
                <w:b/>
                <w:bCs/>
                <w:sz w:val="21"/>
                <w:szCs w:val="21"/>
              </w:rPr>
              <w:t>Name of Company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b/>
                <w:bCs/>
                <w:sz w:val="21"/>
                <w:szCs w:val="21"/>
              </w:rPr>
            </w:pPr>
            <w:r w:rsidRPr="00460622">
              <w:rPr>
                <w:rFonts w:ascii="Arial" w:hAnsi="Arial" w:cs="Arial"/>
                <w:b/>
                <w:bCs/>
                <w:sz w:val="21"/>
                <w:szCs w:val="21"/>
              </w:rPr>
              <w:t>Werksmans Attorneys</w:t>
            </w:r>
          </w:p>
        </w:tc>
      </w:tr>
      <w:tr w:rsidR="007B55B5" w:rsidRPr="00460622" w:rsidTr="008E25F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b/>
                <w:bCs/>
                <w:sz w:val="21"/>
                <w:szCs w:val="21"/>
              </w:rPr>
            </w:pPr>
            <w:r w:rsidRPr="00460622">
              <w:rPr>
                <w:rFonts w:ascii="Arial" w:hAnsi="Arial" w:cs="Arial"/>
                <w:b/>
                <w:bCs/>
                <w:sz w:val="21"/>
                <w:szCs w:val="21"/>
              </w:rPr>
              <w:t>Value of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sz w:val="21"/>
                <w:szCs w:val="21"/>
              </w:rPr>
            </w:pPr>
            <w:r w:rsidRPr="00460622">
              <w:rPr>
                <w:rFonts w:ascii="Arial" w:hAnsi="Arial" w:cs="Arial"/>
                <w:sz w:val="21"/>
                <w:szCs w:val="21"/>
              </w:rPr>
              <w:t>Fixed once off contract (R1 196 305.26)</w:t>
            </w:r>
          </w:p>
        </w:tc>
      </w:tr>
      <w:tr w:rsidR="007B55B5" w:rsidRPr="00460622" w:rsidTr="008E25F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b/>
                <w:bCs/>
                <w:sz w:val="21"/>
                <w:szCs w:val="21"/>
              </w:rPr>
            </w:pPr>
            <w:r w:rsidRPr="00460622">
              <w:rPr>
                <w:rFonts w:ascii="Arial" w:hAnsi="Arial" w:cs="Arial"/>
                <w:b/>
                <w:bCs/>
                <w:sz w:val="21"/>
                <w:szCs w:val="21"/>
              </w:rPr>
              <w:t>When was it awarded?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sz w:val="21"/>
                <w:szCs w:val="21"/>
              </w:rPr>
            </w:pPr>
            <w:r w:rsidRPr="00460622">
              <w:rPr>
                <w:rFonts w:ascii="Arial" w:hAnsi="Arial" w:cs="Arial"/>
                <w:sz w:val="21"/>
                <w:szCs w:val="21"/>
              </w:rPr>
              <w:t>February 2019</w:t>
            </w:r>
          </w:p>
        </w:tc>
      </w:tr>
      <w:tr w:rsidR="007B55B5" w:rsidRPr="00460622" w:rsidTr="008E25F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b/>
                <w:bCs/>
                <w:sz w:val="21"/>
                <w:szCs w:val="21"/>
              </w:rPr>
            </w:pPr>
            <w:r w:rsidRPr="00460622">
              <w:rPr>
                <w:rFonts w:ascii="Arial" w:hAnsi="Arial" w:cs="Arial"/>
                <w:b/>
                <w:bCs/>
                <w:sz w:val="21"/>
                <w:szCs w:val="21"/>
              </w:rPr>
              <w:t>Type of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B55B5" w:rsidRPr="00460622" w:rsidRDefault="007B55B5" w:rsidP="002B7080">
            <w:pPr>
              <w:spacing w:line="276" w:lineRule="auto"/>
              <w:rPr>
                <w:rFonts w:ascii="Arial" w:hAnsi="Arial" w:cs="Arial"/>
                <w:sz w:val="21"/>
                <w:szCs w:val="21"/>
              </w:rPr>
            </w:pPr>
            <w:r w:rsidRPr="00460622">
              <w:rPr>
                <w:rFonts w:ascii="Arial" w:hAnsi="Arial" w:cs="Arial"/>
                <w:sz w:val="21"/>
                <w:szCs w:val="21"/>
              </w:rPr>
              <w:t>W</w:t>
            </w:r>
            <w:r w:rsidR="00096CE8">
              <w:rPr>
                <w:rFonts w:ascii="Arial" w:hAnsi="Arial" w:cs="Arial"/>
                <w:sz w:val="21"/>
                <w:szCs w:val="21"/>
              </w:rPr>
              <w:t xml:space="preserve">erksmans </w:t>
            </w:r>
            <w:r w:rsidRPr="00460622">
              <w:rPr>
                <w:rFonts w:ascii="Arial" w:hAnsi="Arial" w:cs="Arial"/>
                <w:sz w:val="21"/>
                <w:szCs w:val="21"/>
              </w:rPr>
              <w:t>A</w:t>
            </w:r>
            <w:r w:rsidR="00096CE8">
              <w:rPr>
                <w:rFonts w:ascii="Arial" w:hAnsi="Arial" w:cs="Arial"/>
                <w:sz w:val="21"/>
                <w:szCs w:val="21"/>
              </w:rPr>
              <w:t>ttorneys</w:t>
            </w:r>
            <w:r w:rsidRPr="00460622">
              <w:rPr>
                <w:rFonts w:ascii="Arial" w:hAnsi="Arial" w:cs="Arial"/>
                <w:sz w:val="21"/>
                <w:szCs w:val="21"/>
              </w:rPr>
              <w:t xml:space="preserve"> was requested to perform the following duties:</w:t>
            </w:r>
          </w:p>
          <w:p w:rsidR="007B55B5" w:rsidRPr="00683DC2" w:rsidRDefault="007B55B5" w:rsidP="002B7080">
            <w:pPr>
              <w:rPr>
                <w:rFonts w:ascii="Arial" w:hAnsi="Arial" w:cs="Arial"/>
                <w:sz w:val="21"/>
                <w:szCs w:val="21"/>
              </w:rPr>
            </w:pPr>
            <w:r w:rsidRPr="00683DC2">
              <w:rPr>
                <w:rFonts w:ascii="Arial" w:hAnsi="Arial" w:cs="Arial"/>
                <w:sz w:val="21"/>
                <w:szCs w:val="21"/>
              </w:rPr>
              <w:t>To assist with the review of commercial terms relating to particular contracts and SAX rights as some had been flagged as irregular from a compliance perspective – MGC Matekane; Africa Charter; FlyFofa; Namane Capital; Ziegler</w:t>
            </w:r>
          </w:p>
        </w:tc>
      </w:tr>
      <w:tr w:rsidR="007B55B5" w:rsidRPr="00460622" w:rsidTr="008E25F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b/>
                <w:bCs/>
                <w:sz w:val="21"/>
                <w:szCs w:val="21"/>
              </w:rPr>
            </w:pPr>
            <w:r w:rsidRPr="00460622">
              <w:rPr>
                <w:rFonts w:ascii="Arial" w:hAnsi="Arial" w:cs="Arial"/>
                <w:b/>
                <w:bCs/>
                <w:sz w:val="21"/>
                <w:szCs w:val="21"/>
              </w:rPr>
              <w:t>Who approved the contracting of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B55B5" w:rsidRPr="00460622" w:rsidRDefault="007B55B5" w:rsidP="002B7080">
            <w:pPr>
              <w:spacing w:line="276" w:lineRule="auto"/>
              <w:rPr>
                <w:rFonts w:ascii="Arial" w:hAnsi="Arial" w:cs="Arial"/>
                <w:sz w:val="21"/>
                <w:szCs w:val="21"/>
              </w:rPr>
            </w:pPr>
            <w:r>
              <w:rPr>
                <w:rFonts w:ascii="Arial" w:hAnsi="Arial" w:cs="Arial"/>
                <w:sz w:val="21"/>
                <w:szCs w:val="21"/>
              </w:rPr>
              <w:t xml:space="preserve">The appointment followed the normal internal procurement processes. </w:t>
            </w:r>
          </w:p>
        </w:tc>
      </w:tr>
    </w:tbl>
    <w:p w:rsidR="007B55B5" w:rsidRDefault="007B55B5" w:rsidP="00E02586">
      <w:pPr>
        <w:rPr>
          <w:rFonts w:ascii="Arial" w:hAnsi="Arial" w:cs="Arial"/>
          <w:b/>
        </w:rPr>
      </w:pPr>
    </w:p>
    <w:p w:rsidR="00096CE8" w:rsidRDefault="00096CE8" w:rsidP="00E02586">
      <w:pPr>
        <w:rPr>
          <w:rFonts w:ascii="Arial" w:hAnsi="Arial" w:cs="Arial"/>
          <w:b/>
        </w:rPr>
      </w:pPr>
    </w:p>
    <w:p w:rsidR="008E25FB" w:rsidRPr="008E25FB" w:rsidRDefault="00096CE8" w:rsidP="000D7B56">
      <w:pPr>
        <w:jc w:val="both"/>
        <w:rPr>
          <w:rFonts w:ascii="Arial" w:hAnsi="Arial" w:cs="Arial"/>
          <w:b/>
        </w:rPr>
      </w:pPr>
      <w:r>
        <w:rPr>
          <w:rFonts w:ascii="Arial" w:hAnsi="Arial" w:cs="Arial"/>
          <w:b/>
        </w:rPr>
        <w:t xml:space="preserve">According to the information received from </w:t>
      </w:r>
      <w:r w:rsidR="008E25FB" w:rsidRPr="008E25FB">
        <w:rPr>
          <w:rFonts w:ascii="Arial" w:hAnsi="Arial" w:cs="Arial"/>
          <w:b/>
        </w:rPr>
        <w:t xml:space="preserve">TRANSNET SOC LTD </w:t>
      </w:r>
    </w:p>
    <w:p w:rsidR="00096CE8" w:rsidRDefault="00096CE8" w:rsidP="00096CE8">
      <w:pPr>
        <w:rPr>
          <w:rFonts w:ascii="Arial" w:hAnsi="Arial" w:cs="Arial"/>
          <w:b/>
        </w:rPr>
      </w:pPr>
    </w:p>
    <w:p w:rsidR="00096CE8" w:rsidRPr="00CC05D7" w:rsidRDefault="00096CE8" w:rsidP="00096CE8">
      <w:pPr>
        <w:jc w:val="both"/>
        <w:rPr>
          <w:rFonts w:ascii="Arial" w:hAnsi="Arial" w:cs="Arial"/>
        </w:rPr>
      </w:pPr>
      <w:r w:rsidRPr="00CC05D7">
        <w:rPr>
          <w:rFonts w:ascii="Arial" w:hAnsi="Arial" w:cs="Arial"/>
        </w:rPr>
        <w:t>From February 2018 Transnet has not contracted Werksmans attorneys to render any services. However, in June 2017 they were hired by the then Transnet Board to conduct a forensic investigation into allegations of procurement irregularities in the acquisition of the 1064 locomotives. Those services were rendered from June 2017 to March 2018 and for which they were paid fees in the amount of R12 562 506.83 including VAT and disbursements.</w:t>
      </w:r>
    </w:p>
    <w:p w:rsidR="00096CE8" w:rsidRDefault="00096CE8" w:rsidP="00096CE8">
      <w:pPr>
        <w:jc w:val="both"/>
        <w:rPr>
          <w:rFonts w:ascii="Arial" w:hAnsi="Arial" w:cs="Arial"/>
          <w:b/>
        </w:rPr>
      </w:pPr>
    </w:p>
    <w:p w:rsidR="00A259B4" w:rsidRPr="00A259B4" w:rsidRDefault="00A259B4" w:rsidP="00096CE8">
      <w:pPr>
        <w:jc w:val="both"/>
        <w:rPr>
          <w:rFonts w:ascii="Arial" w:hAnsi="Arial" w:cs="Arial"/>
        </w:rPr>
      </w:pPr>
      <w:r>
        <w:rPr>
          <w:rFonts w:ascii="Arial" w:hAnsi="Arial" w:cs="Arial"/>
        </w:rPr>
        <w:t xml:space="preserve">Legal firms should be retained on the basis of their specific expertise and the particular needs of the entity. Any forensic report produced by any legal or other firm must be acted upon to recover funds improperly expended and where appropriate charges will be laid with the relevant law enforcement authorities. </w:t>
      </w:r>
    </w:p>
    <w:p w:rsidR="00096CE8" w:rsidRDefault="00096CE8" w:rsidP="00096CE8">
      <w:pPr>
        <w:jc w:val="both"/>
        <w:rPr>
          <w:rFonts w:ascii="Arial" w:hAnsi="Arial" w:cs="Arial"/>
          <w:b/>
        </w:rPr>
      </w:pPr>
    </w:p>
    <w:p w:rsidR="00096CE8" w:rsidRPr="00690080" w:rsidRDefault="00096CE8" w:rsidP="00096CE8">
      <w:pPr>
        <w:jc w:val="both"/>
        <w:rPr>
          <w:rFonts w:ascii="Arial" w:hAnsi="Arial" w:cs="Arial"/>
          <w:color w:val="FF0000"/>
        </w:rPr>
      </w:pPr>
    </w:p>
    <w:p w:rsidR="00626B36" w:rsidRDefault="00626B36" w:rsidP="00DE4554">
      <w:pPr>
        <w:contextualSpacing/>
        <w:jc w:val="both"/>
        <w:rPr>
          <w:rFonts w:ascii="Arial" w:hAnsi="Arial" w:cs="Arial"/>
          <w:b/>
          <w:bCs/>
          <w:sz w:val="22"/>
          <w:szCs w:val="22"/>
          <w:lang w:val="en-ZA"/>
        </w:rPr>
      </w:pPr>
    </w:p>
    <w:sectPr w:rsidR="00626B36" w:rsidSect="00626B36">
      <w:headerReference w:type="default" r:id="rId9"/>
      <w:footerReference w:type="default" r:id="rId10"/>
      <w:pgSz w:w="12240" w:h="15840"/>
      <w:pgMar w:top="0" w:right="1800" w:bottom="180" w:left="1800" w:header="72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0C" w:rsidRDefault="00751E0C" w:rsidP="002F7B6C">
      <w:r>
        <w:separator/>
      </w:r>
    </w:p>
  </w:endnote>
  <w:endnote w:type="continuationSeparator" w:id="0">
    <w:p w:rsidR="00751E0C" w:rsidRDefault="00751E0C"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51E0C">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0C" w:rsidRDefault="00751E0C" w:rsidP="002F7B6C">
      <w:r>
        <w:separator/>
      </w:r>
    </w:p>
  </w:footnote>
  <w:footnote w:type="continuationSeparator" w:id="0">
    <w:p w:rsidR="00751E0C" w:rsidRDefault="00751E0C"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4A7DED"/>
    <w:multiLevelType w:val="hybridMultilevel"/>
    <w:tmpl w:val="71009796"/>
    <w:lvl w:ilvl="0" w:tplc="0F4AF3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
  </w:num>
  <w:num w:numId="10">
    <w:abstractNumId w:val="3"/>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3B22"/>
    <w:rsid w:val="00016464"/>
    <w:rsid w:val="00026896"/>
    <w:rsid w:val="00026961"/>
    <w:rsid w:val="00037BA8"/>
    <w:rsid w:val="00053958"/>
    <w:rsid w:val="00061379"/>
    <w:rsid w:val="00063424"/>
    <w:rsid w:val="00064DE9"/>
    <w:rsid w:val="000761C1"/>
    <w:rsid w:val="00082DF7"/>
    <w:rsid w:val="00093C4D"/>
    <w:rsid w:val="00096CE8"/>
    <w:rsid w:val="000A6768"/>
    <w:rsid w:val="000A6E4F"/>
    <w:rsid w:val="000B0078"/>
    <w:rsid w:val="000B0758"/>
    <w:rsid w:val="000B6C62"/>
    <w:rsid w:val="000C36EA"/>
    <w:rsid w:val="000D0546"/>
    <w:rsid w:val="000D7B56"/>
    <w:rsid w:val="000E13FF"/>
    <w:rsid w:val="000E5477"/>
    <w:rsid w:val="000F09EA"/>
    <w:rsid w:val="000F170E"/>
    <w:rsid w:val="000F3B54"/>
    <w:rsid w:val="000F4733"/>
    <w:rsid w:val="000F4C3B"/>
    <w:rsid w:val="00100F38"/>
    <w:rsid w:val="0010539F"/>
    <w:rsid w:val="00121003"/>
    <w:rsid w:val="00143667"/>
    <w:rsid w:val="001465A8"/>
    <w:rsid w:val="00152C51"/>
    <w:rsid w:val="00154917"/>
    <w:rsid w:val="001617C6"/>
    <w:rsid w:val="001740EB"/>
    <w:rsid w:val="001768FA"/>
    <w:rsid w:val="00180887"/>
    <w:rsid w:val="001824E2"/>
    <w:rsid w:val="001835A6"/>
    <w:rsid w:val="00187731"/>
    <w:rsid w:val="001A15FB"/>
    <w:rsid w:val="001A2020"/>
    <w:rsid w:val="001A63AA"/>
    <w:rsid w:val="001B58A0"/>
    <w:rsid w:val="001C5D73"/>
    <w:rsid w:val="001D6636"/>
    <w:rsid w:val="001D6AD9"/>
    <w:rsid w:val="001E36FF"/>
    <w:rsid w:val="001F68BA"/>
    <w:rsid w:val="00202E8D"/>
    <w:rsid w:val="00204BA5"/>
    <w:rsid w:val="00205793"/>
    <w:rsid w:val="002102C5"/>
    <w:rsid w:val="0022523E"/>
    <w:rsid w:val="002257AD"/>
    <w:rsid w:val="002263F0"/>
    <w:rsid w:val="00226482"/>
    <w:rsid w:val="00231713"/>
    <w:rsid w:val="00251886"/>
    <w:rsid w:val="00253EEE"/>
    <w:rsid w:val="002558F8"/>
    <w:rsid w:val="00262CCB"/>
    <w:rsid w:val="0026535D"/>
    <w:rsid w:val="002860E0"/>
    <w:rsid w:val="00292E7A"/>
    <w:rsid w:val="002945C8"/>
    <w:rsid w:val="002A2992"/>
    <w:rsid w:val="002B7080"/>
    <w:rsid w:val="002C183F"/>
    <w:rsid w:val="002C219A"/>
    <w:rsid w:val="002C356F"/>
    <w:rsid w:val="002E237E"/>
    <w:rsid w:val="002E2DEB"/>
    <w:rsid w:val="002F35E9"/>
    <w:rsid w:val="002F564A"/>
    <w:rsid w:val="002F6546"/>
    <w:rsid w:val="002F7B6C"/>
    <w:rsid w:val="003022B2"/>
    <w:rsid w:val="00304D24"/>
    <w:rsid w:val="00335B3C"/>
    <w:rsid w:val="00344369"/>
    <w:rsid w:val="00346D61"/>
    <w:rsid w:val="003502E6"/>
    <w:rsid w:val="00365C77"/>
    <w:rsid w:val="00375892"/>
    <w:rsid w:val="003828D9"/>
    <w:rsid w:val="0039441D"/>
    <w:rsid w:val="00397F90"/>
    <w:rsid w:val="003A0568"/>
    <w:rsid w:val="003A7F30"/>
    <w:rsid w:val="003E19BD"/>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C78AC"/>
    <w:rsid w:val="004D461D"/>
    <w:rsid w:val="004D772A"/>
    <w:rsid w:val="004E1FD7"/>
    <w:rsid w:val="004E3AE1"/>
    <w:rsid w:val="005007A5"/>
    <w:rsid w:val="00501ED3"/>
    <w:rsid w:val="005047F1"/>
    <w:rsid w:val="00514763"/>
    <w:rsid w:val="005240E0"/>
    <w:rsid w:val="00530AF1"/>
    <w:rsid w:val="00543405"/>
    <w:rsid w:val="00543F78"/>
    <w:rsid w:val="0054476C"/>
    <w:rsid w:val="00550D7F"/>
    <w:rsid w:val="00552E56"/>
    <w:rsid w:val="00557E9E"/>
    <w:rsid w:val="0057074A"/>
    <w:rsid w:val="00572202"/>
    <w:rsid w:val="00584888"/>
    <w:rsid w:val="005A234A"/>
    <w:rsid w:val="005A49C8"/>
    <w:rsid w:val="005B5054"/>
    <w:rsid w:val="005C2BD3"/>
    <w:rsid w:val="005C3BE9"/>
    <w:rsid w:val="005D4452"/>
    <w:rsid w:val="005E232A"/>
    <w:rsid w:val="00600858"/>
    <w:rsid w:val="00605D6C"/>
    <w:rsid w:val="00617391"/>
    <w:rsid w:val="00626B36"/>
    <w:rsid w:val="00632C36"/>
    <w:rsid w:val="00634841"/>
    <w:rsid w:val="006522AE"/>
    <w:rsid w:val="00674548"/>
    <w:rsid w:val="00683DF1"/>
    <w:rsid w:val="00690080"/>
    <w:rsid w:val="00691516"/>
    <w:rsid w:val="0069250B"/>
    <w:rsid w:val="00692C78"/>
    <w:rsid w:val="00693729"/>
    <w:rsid w:val="006B1B03"/>
    <w:rsid w:val="006B6CAA"/>
    <w:rsid w:val="006B770D"/>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1E0C"/>
    <w:rsid w:val="0075466C"/>
    <w:rsid w:val="0076173C"/>
    <w:rsid w:val="00763B2A"/>
    <w:rsid w:val="00770C6C"/>
    <w:rsid w:val="00771EE9"/>
    <w:rsid w:val="007721D8"/>
    <w:rsid w:val="007776BB"/>
    <w:rsid w:val="007821F5"/>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266E8"/>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C2857"/>
    <w:rsid w:val="008E0C4E"/>
    <w:rsid w:val="008E25FB"/>
    <w:rsid w:val="008F31BE"/>
    <w:rsid w:val="008F4E54"/>
    <w:rsid w:val="00900509"/>
    <w:rsid w:val="009101EB"/>
    <w:rsid w:val="0091568C"/>
    <w:rsid w:val="00933A9C"/>
    <w:rsid w:val="00956CC7"/>
    <w:rsid w:val="0097033F"/>
    <w:rsid w:val="00983134"/>
    <w:rsid w:val="00983745"/>
    <w:rsid w:val="00990A76"/>
    <w:rsid w:val="009B7F8A"/>
    <w:rsid w:val="009D0942"/>
    <w:rsid w:val="009D3ED9"/>
    <w:rsid w:val="009E4929"/>
    <w:rsid w:val="009F5322"/>
    <w:rsid w:val="009F6CDC"/>
    <w:rsid w:val="00A10673"/>
    <w:rsid w:val="00A11F37"/>
    <w:rsid w:val="00A13546"/>
    <w:rsid w:val="00A1552C"/>
    <w:rsid w:val="00A22CA5"/>
    <w:rsid w:val="00A259B4"/>
    <w:rsid w:val="00A33EC8"/>
    <w:rsid w:val="00A46FB4"/>
    <w:rsid w:val="00A53C41"/>
    <w:rsid w:val="00A61DC4"/>
    <w:rsid w:val="00A63A0A"/>
    <w:rsid w:val="00A63EEE"/>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4224B"/>
    <w:rsid w:val="00B52D1A"/>
    <w:rsid w:val="00B64C51"/>
    <w:rsid w:val="00B65996"/>
    <w:rsid w:val="00B80815"/>
    <w:rsid w:val="00B84C5C"/>
    <w:rsid w:val="00B91B50"/>
    <w:rsid w:val="00B95821"/>
    <w:rsid w:val="00B977DB"/>
    <w:rsid w:val="00BC2946"/>
    <w:rsid w:val="00BC46C6"/>
    <w:rsid w:val="00BD652C"/>
    <w:rsid w:val="00BD73B4"/>
    <w:rsid w:val="00BE2C89"/>
    <w:rsid w:val="00C02B81"/>
    <w:rsid w:val="00C04A5B"/>
    <w:rsid w:val="00C05B52"/>
    <w:rsid w:val="00C163FA"/>
    <w:rsid w:val="00C33AC7"/>
    <w:rsid w:val="00C35B67"/>
    <w:rsid w:val="00C35C85"/>
    <w:rsid w:val="00C36C5A"/>
    <w:rsid w:val="00C37C01"/>
    <w:rsid w:val="00C673A6"/>
    <w:rsid w:val="00C9463B"/>
    <w:rsid w:val="00C95BA0"/>
    <w:rsid w:val="00CB5861"/>
    <w:rsid w:val="00CB5C46"/>
    <w:rsid w:val="00CB74D7"/>
    <w:rsid w:val="00CE514E"/>
    <w:rsid w:val="00CE6D28"/>
    <w:rsid w:val="00CF5106"/>
    <w:rsid w:val="00CF5D4B"/>
    <w:rsid w:val="00D042B8"/>
    <w:rsid w:val="00D15DA1"/>
    <w:rsid w:val="00D25608"/>
    <w:rsid w:val="00D25ED9"/>
    <w:rsid w:val="00D301BD"/>
    <w:rsid w:val="00D37BD8"/>
    <w:rsid w:val="00D4715B"/>
    <w:rsid w:val="00D71D6C"/>
    <w:rsid w:val="00D72332"/>
    <w:rsid w:val="00D72B16"/>
    <w:rsid w:val="00D76304"/>
    <w:rsid w:val="00D80097"/>
    <w:rsid w:val="00D805A3"/>
    <w:rsid w:val="00D81CD0"/>
    <w:rsid w:val="00D960C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72CCA"/>
    <w:rsid w:val="00E83DB6"/>
    <w:rsid w:val="00E9248E"/>
    <w:rsid w:val="00E92965"/>
    <w:rsid w:val="00EA3573"/>
    <w:rsid w:val="00EA3DFB"/>
    <w:rsid w:val="00ED3319"/>
    <w:rsid w:val="00EE1975"/>
    <w:rsid w:val="00EE4B89"/>
    <w:rsid w:val="00EF3F70"/>
    <w:rsid w:val="00EF5F14"/>
    <w:rsid w:val="00F169D5"/>
    <w:rsid w:val="00F24B6C"/>
    <w:rsid w:val="00F33528"/>
    <w:rsid w:val="00F544FA"/>
    <w:rsid w:val="00F75EA0"/>
    <w:rsid w:val="00F80BD9"/>
    <w:rsid w:val="00F968DE"/>
    <w:rsid w:val="00FA1820"/>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3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table" w:customStyle="1" w:styleId="TableGrid1">
    <w:name w:val="Table Grid1"/>
    <w:basedOn w:val="TableNormal"/>
    <w:next w:val="TableGrid"/>
    <w:uiPriority w:val="39"/>
    <w:rsid w:val="008E25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74688-20C7-4FAA-BDAA-E7870DC3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2019-10-14T08:11:00Z</cp:lastPrinted>
  <dcterms:created xsi:type="dcterms:W3CDTF">2019-10-24T09:48:00Z</dcterms:created>
  <dcterms:modified xsi:type="dcterms:W3CDTF">2019-10-24T09:48:00Z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00000000BC095E7D7A071E45AEB31986C17B1DAB04B1DA00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