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71" w:rsidRPr="00C15E23" w:rsidRDefault="00897B71" w:rsidP="00C15E23">
      <w:pPr>
        <w:jc w:val="center"/>
        <w:outlineLvl w:val="0"/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eastAsia="en-ZA"/>
        </w:rPr>
      </w:pPr>
      <w:bookmarkStart w:id="0" w:name="_GoBack"/>
      <w:bookmarkEnd w:id="0"/>
      <w:r w:rsidRPr="00AA0153"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eastAsia="en-ZA"/>
        </w:rPr>
        <w:t>NATIONAL ASSEMBLY</w:t>
      </w:r>
    </w:p>
    <w:p w:rsidR="00897B71" w:rsidRPr="00AA0153" w:rsidRDefault="00897B71" w:rsidP="00897B71">
      <w:pPr>
        <w:jc w:val="both"/>
        <w:outlineLvl w:val="0"/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eastAsia="en-ZA"/>
        </w:rPr>
      </w:pPr>
      <w:r w:rsidRPr="00AA0153"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eastAsia="en-ZA"/>
        </w:rPr>
        <w:t xml:space="preserve">QUESTION FOR WRITTEN REPLY </w:t>
      </w:r>
    </w:p>
    <w:p w:rsidR="00897B71" w:rsidRPr="00046E53" w:rsidRDefault="00897B71" w:rsidP="00897B71">
      <w:pPr>
        <w:jc w:val="both"/>
        <w:rPr>
          <w:rFonts w:ascii="Arial" w:hAnsi="Arial" w:cs="Arial"/>
          <w:b/>
          <w:sz w:val="32"/>
          <w:szCs w:val="32"/>
        </w:rPr>
      </w:pPr>
      <w:r w:rsidRPr="00AA0153">
        <w:rPr>
          <w:rFonts w:ascii="Arial" w:eastAsia="Batang" w:hAnsi="Arial" w:cs="Arial"/>
          <w:b/>
          <w:sz w:val="32"/>
          <w:szCs w:val="32"/>
          <w:lang w:eastAsia="ko-KR"/>
        </w:rPr>
        <w:t>QUESTION NO.: 583</w:t>
      </w:r>
    </w:p>
    <w:p w:rsidR="00897B71" w:rsidRPr="00AA0153" w:rsidRDefault="00897B71" w:rsidP="00897B7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AA0153">
        <w:rPr>
          <w:rFonts w:ascii="Arial" w:hAnsi="Arial" w:cs="Arial"/>
          <w:b/>
          <w:sz w:val="32"/>
          <w:szCs w:val="32"/>
        </w:rPr>
        <w:t>Mrs</w:t>
      </w:r>
      <w:proofErr w:type="spellEnd"/>
      <w:r w:rsidRPr="00AA0153">
        <w:rPr>
          <w:rFonts w:ascii="Arial" w:hAnsi="Arial" w:cs="Arial"/>
          <w:b/>
          <w:sz w:val="32"/>
          <w:szCs w:val="32"/>
        </w:rPr>
        <w:t xml:space="preserve"> V van Dyk (DA) to ask the Minister of Sport, Arts and Culture: </w:t>
      </w:r>
    </w:p>
    <w:p w:rsidR="00897B71" w:rsidRPr="00AA0153" w:rsidRDefault="00897B71" w:rsidP="00897B71">
      <w:pPr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(1)</w:t>
      </w:r>
      <w:r w:rsidRPr="00AA0153">
        <w:rPr>
          <w:rFonts w:ascii="Arial" w:hAnsi="Arial" w:cs="Arial"/>
          <w:sz w:val="32"/>
          <w:szCs w:val="32"/>
        </w:rPr>
        <w:tab/>
        <w:t>With reference to his reply to question 4444 on 13 December 2022, wherein he stated that it was well known that the practice largely benefited the KwaZulu-Natal Philharmonic Orchestra, the Johannesburg Philharmonic Orchestra, and the Cape Town Philharmonic Orchestra, on what statistics are the conclusions based that particularly the white minority benefited.</w:t>
      </w: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(2)</w:t>
      </w:r>
      <w:r w:rsidRPr="00AA0153">
        <w:rPr>
          <w:rFonts w:ascii="Arial" w:hAnsi="Arial" w:cs="Arial"/>
          <w:sz w:val="32"/>
          <w:szCs w:val="32"/>
        </w:rPr>
        <w:tab/>
        <w:t>(</w:t>
      </w:r>
      <w:proofErr w:type="gramStart"/>
      <w:r w:rsidRPr="00AA0153">
        <w:rPr>
          <w:rFonts w:ascii="Arial" w:hAnsi="Arial" w:cs="Arial"/>
          <w:sz w:val="32"/>
          <w:szCs w:val="32"/>
        </w:rPr>
        <w:t>a</w:t>
      </w:r>
      <w:proofErr w:type="gramEnd"/>
      <w:r w:rsidRPr="00AA0153">
        <w:rPr>
          <w:rFonts w:ascii="Arial" w:hAnsi="Arial" w:cs="Arial"/>
          <w:sz w:val="32"/>
          <w:szCs w:val="32"/>
        </w:rPr>
        <w:t xml:space="preserve">) who were and/or are the chief executive officers (CEOs) of the specified orchestras and (b) what was the racial ratio of each orchestra over the past five years. </w:t>
      </w: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(3)</w:t>
      </w:r>
      <w:r w:rsidRPr="00AA0153">
        <w:rPr>
          <w:rFonts w:ascii="Arial" w:hAnsi="Arial" w:cs="Arial"/>
          <w:sz w:val="32"/>
          <w:szCs w:val="32"/>
        </w:rPr>
        <w:tab/>
      </w:r>
      <w:proofErr w:type="gramStart"/>
      <w:r w:rsidRPr="00AA0153">
        <w:rPr>
          <w:rFonts w:ascii="Arial" w:hAnsi="Arial" w:cs="Arial"/>
          <w:sz w:val="32"/>
          <w:szCs w:val="32"/>
        </w:rPr>
        <w:t>if</w:t>
      </w:r>
      <w:proofErr w:type="gramEnd"/>
      <w:r w:rsidRPr="00AA0153">
        <w:rPr>
          <w:rFonts w:ascii="Arial" w:hAnsi="Arial" w:cs="Arial"/>
          <w:sz w:val="32"/>
          <w:szCs w:val="32"/>
        </w:rPr>
        <w:t xml:space="preserve"> he found that, as the CEO of two of the three orchestras, </w:t>
      </w:r>
      <w:proofErr w:type="spellStart"/>
      <w:r w:rsidRPr="00AA0153">
        <w:rPr>
          <w:rFonts w:ascii="Arial" w:hAnsi="Arial" w:cs="Arial"/>
          <w:sz w:val="32"/>
          <w:szCs w:val="32"/>
        </w:rPr>
        <w:t>Mr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Bongani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Tembe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was unable to bring about change and/or transformation, what are the reasons that he was handpicked to be the CEO of the </w:t>
      </w:r>
      <w:proofErr w:type="spellStart"/>
      <w:r w:rsidRPr="00AA0153">
        <w:rPr>
          <w:rFonts w:ascii="Arial" w:hAnsi="Arial" w:cs="Arial"/>
          <w:sz w:val="32"/>
          <w:szCs w:val="32"/>
        </w:rPr>
        <w:t>Mzansi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National Philharmonic Orchestra.</w:t>
      </w: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(4)</w:t>
      </w:r>
      <w:r w:rsidRPr="00AA0153">
        <w:rPr>
          <w:rFonts w:ascii="Arial" w:hAnsi="Arial" w:cs="Arial"/>
          <w:sz w:val="32"/>
          <w:szCs w:val="32"/>
        </w:rPr>
        <w:tab/>
        <w:t>what (a) total number of cadets (</w:t>
      </w:r>
      <w:proofErr w:type="spellStart"/>
      <w:r w:rsidRPr="00AA0153">
        <w:rPr>
          <w:rFonts w:ascii="Arial" w:hAnsi="Arial" w:cs="Arial"/>
          <w:sz w:val="32"/>
          <w:szCs w:val="32"/>
        </w:rPr>
        <w:t>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) received training and/or (ii) were taken up in music </w:t>
      </w:r>
      <w:proofErr w:type="spellStart"/>
      <w:r w:rsidRPr="00AA0153">
        <w:rPr>
          <w:rFonts w:ascii="Arial" w:hAnsi="Arial" w:cs="Arial"/>
          <w:sz w:val="32"/>
          <w:szCs w:val="32"/>
        </w:rPr>
        <w:t>programmes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in each specified orchestra over the past five years and (b) was the racial ratio in each orchestra in each specified year;</w:t>
      </w: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(5).</w:t>
      </w:r>
      <w:r w:rsidRPr="00AA0153">
        <w:rPr>
          <w:rFonts w:ascii="Arial" w:hAnsi="Arial" w:cs="Arial"/>
          <w:sz w:val="32"/>
          <w:szCs w:val="32"/>
        </w:rPr>
        <w:tab/>
        <w:t xml:space="preserve">what </w:t>
      </w:r>
      <w:proofErr w:type="spellStart"/>
      <w:r w:rsidRPr="00AA0153">
        <w:rPr>
          <w:rFonts w:ascii="Arial" w:hAnsi="Arial" w:cs="Arial"/>
          <w:sz w:val="32"/>
          <w:szCs w:val="32"/>
        </w:rPr>
        <w:t>programmes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has each orchestra undertaken to develop musicians and/or to uplift disadvantaged talented musicians over the past five years? NW654E</w:t>
      </w: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  <w:t xml:space="preserve">   </w:t>
      </w: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</w:r>
      <w:r w:rsidRPr="00AA0153">
        <w:rPr>
          <w:rFonts w:ascii="Arial" w:hAnsi="Arial" w:cs="Arial"/>
          <w:sz w:val="32"/>
          <w:szCs w:val="32"/>
        </w:rPr>
        <w:tab/>
        <w:t xml:space="preserve">                                         </w:t>
      </w:r>
    </w:p>
    <w:p w:rsidR="00897B71" w:rsidRPr="003A1ED3" w:rsidRDefault="00897B71" w:rsidP="00897B71">
      <w:pPr>
        <w:pStyle w:val="Default"/>
        <w:jc w:val="both"/>
        <w:rPr>
          <w:rFonts w:ascii="Arial" w:hAnsi="Arial" w:cs="Arial"/>
          <w:b/>
          <w:sz w:val="32"/>
          <w:szCs w:val="32"/>
        </w:rPr>
      </w:pPr>
      <w:r w:rsidRPr="00AA0153">
        <w:rPr>
          <w:rFonts w:ascii="Arial" w:hAnsi="Arial" w:cs="Arial"/>
          <w:b/>
          <w:sz w:val="32"/>
          <w:szCs w:val="32"/>
        </w:rPr>
        <w:t>REPLY:</w:t>
      </w:r>
    </w:p>
    <w:p w:rsidR="00897B71" w:rsidRPr="00AA0153" w:rsidRDefault="00897B71" w:rsidP="00897B71">
      <w:pPr>
        <w:pStyle w:val="NoSpacing"/>
        <w:jc w:val="both"/>
        <w:rPr>
          <w:sz w:val="32"/>
          <w:szCs w:val="32"/>
        </w:rPr>
      </w:pPr>
      <w:r w:rsidRPr="00AA0153">
        <w:rPr>
          <w:sz w:val="32"/>
          <w:szCs w:val="32"/>
        </w:rPr>
        <w:t>According to the information at my disposal at the moment:</w:t>
      </w:r>
    </w:p>
    <w:p w:rsidR="00897B71" w:rsidRPr="00AA0153" w:rsidRDefault="00897B71" w:rsidP="00897B71">
      <w:pPr>
        <w:pStyle w:val="NoSpacing"/>
        <w:jc w:val="both"/>
        <w:rPr>
          <w:sz w:val="32"/>
          <w:szCs w:val="32"/>
        </w:rPr>
      </w:pPr>
      <w:r w:rsidRPr="00AA0153">
        <w:rPr>
          <w:sz w:val="32"/>
          <w:szCs w:val="32"/>
        </w:rPr>
        <w:t xml:space="preserve">(1). </w:t>
      </w:r>
      <w:r w:rsidRPr="00AA0153">
        <w:rPr>
          <w:sz w:val="32"/>
          <w:szCs w:val="32"/>
        </w:rPr>
        <w:tab/>
        <w:t>It is a well-known fact that arts funding</w:t>
      </w:r>
      <w:r>
        <w:rPr>
          <w:sz w:val="32"/>
          <w:szCs w:val="32"/>
        </w:rPr>
        <w:t xml:space="preserve"> in South Africa, before 1994, </w:t>
      </w:r>
      <w:r w:rsidRPr="00AA0153">
        <w:rPr>
          <w:sz w:val="32"/>
          <w:szCs w:val="32"/>
        </w:rPr>
        <w:t>largely benefitted the white minority.  It is</w:t>
      </w:r>
      <w:r>
        <w:rPr>
          <w:sz w:val="32"/>
          <w:szCs w:val="32"/>
        </w:rPr>
        <w:t xml:space="preserve"> also a </w:t>
      </w:r>
      <w:r>
        <w:rPr>
          <w:sz w:val="32"/>
          <w:szCs w:val="32"/>
        </w:rPr>
        <w:lastRenderedPageBreak/>
        <w:t xml:space="preserve">fact that prior to the </w:t>
      </w:r>
      <w:r w:rsidRPr="00AA0153">
        <w:rPr>
          <w:sz w:val="32"/>
          <w:szCs w:val="32"/>
        </w:rPr>
        <w:t xml:space="preserve">formation of </w:t>
      </w:r>
      <w:proofErr w:type="spellStart"/>
      <w:r w:rsidRPr="00AA0153">
        <w:rPr>
          <w:sz w:val="32"/>
          <w:szCs w:val="32"/>
        </w:rPr>
        <w:t>Mzansi</w:t>
      </w:r>
      <w:proofErr w:type="spellEnd"/>
      <w:r w:rsidRPr="00AA0153">
        <w:rPr>
          <w:sz w:val="32"/>
          <w:szCs w:val="32"/>
        </w:rPr>
        <w:t xml:space="preserve"> National Philharmonic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Orchestra,</w:t>
      </w:r>
      <w:proofErr w:type="gramEnd"/>
      <w:r>
        <w:rPr>
          <w:sz w:val="32"/>
          <w:szCs w:val="32"/>
        </w:rPr>
        <w:t xml:space="preserve"> orchestral funding </w:t>
      </w:r>
      <w:r w:rsidRPr="00AA0153">
        <w:rPr>
          <w:sz w:val="32"/>
          <w:szCs w:val="32"/>
        </w:rPr>
        <w:t>benefitted the 3 established o</w:t>
      </w:r>
      <w:r>
        <w:rPr>
          <w:sz w:val="32"/>
          <w:szCs w:val="32"/>
        </w:rPr>
        <w:t xml:space="preserve">rchestra in Cape Town, Durban, Johannesburg. </w:t>
      </w:r>
      <w:r w:rsidRPr="00AA0153">
        <w:rPr>
          <w:sz w:val="32"/>
          <w:szCs w:val="32"/>
        </w:rPr>
        <w:t>And the following sample of a</w:t>
      </w:r>
      <w:r>
        <w:rPr>
          <w:sz w:val="32"/>
          <w:szCs w:val="32"/>
        </w:rPr>
        <w:t xml:space="preserve">llocation over the past 15 </w:t>
      </w:r>
      <w:r w:rsidRPr="00AA0153">
        <w:rPr>
          <w:sz w:val="32"/>
          <w:szCs w:val="32"/>
        </w:rPr>
        <w:t>years testifies to that:</w:t>
      </w:r>
    </w:p>
    <w:p w:rsidR="00897B71" w:rsidRPr="00AA0153" w:rsidRDefault="00897B71" w:rsidP="00897B7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0446" w:type="dxa"/>
        <w:tblInd w:w="-882" w:type="dxa"/>
        <w:tblLayout w:type="fixed"/>
        <w:tblLook w:val="04A0"/>
      </w:tblPr>
      <w:tblGrid>
        <w:gridCol w:w="1800"/>
        <w:gridCol w:w="1350"/>
        <w:gridCol w:w="1350"/>
        <w:gridCol w:w="270"/>
        <w:gridCol w:w="1350"/>
        <w:gridCol w:w="1350"/>
        <w:gridCol w:w="1440"/>
        <w:gridCol w:w="1536"/>
      </w:tblGrid>
      <w:tr w:rsidR="00897B71" w:rsidRPr="00AA0153" w:rsidTr="00AB1BB0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Name of Orchestra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2008/09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2009/10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2015/16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2016/17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2017/18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2018/19</w:t>
            </w:r>
          </w:p>
        </w:tc>
      </w:tr>
      <w:tr w:rsidR="00897B71" w:rsidRPr="00AA0153" w:rsidTr="00AB1BB0">
        <w:trPr>
          <w:trHeight w:val="3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KZN Philharmonic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4 472 000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4 740 000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9 772 000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10 300 000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10 815 000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6 180 000</w:t>
            </w:r>
          </w:p>
        </w:tc>
      </w:tr>
      <w:tr w:rsidR="00897B71" w:rsidRPr="00AA0153" w:rsidTr="00AB1BB0">
        <w:trPr>
          <w:trHeight w:val="3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Cape Philharmonic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4 472 000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4 740 000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6 660 000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7 020 000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ind w:right="-181"/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7 371 000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4 422 000</w:t>
            </w:r>
          </w:p>
        </w:tc>
      </w:tr>
      <w:tr w:rsidR="00897B71" w:rsidRPr="00AA0153" w:rsidTr="00AB1BB0">
        <w:trPr>
          <w:trHeight w:val="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Cape Town Jazz Orchestra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4 472 000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4 740 000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3 535 000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3 726 000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3 912 000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2 347 000</w:t>
            </w:r>
          </w:p>
        </w:tc>
      </w:tr>
      <w:tr w:rsidR="00897B71" w:rsidRPr="00AA0153" w:rsidTr="00AB1BB0">
        <w:trPr>
          <w:trHeight w:val="61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Jhb</w:t>
            </w:r>
            <w:proofErr w:type="spellEnd"/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Philharmonic Orchestra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color w:val="000000"/>
                <w:sz w:val="32"/>
                <w:szCs w:val="32"/>
                <w:lang w:eastAsia="en-GB"/>
              </w:rPr>
              <w:t>3 000 000</w:t>
            </w:r>
          </w:p>
        </w:tc>
      </w:tr>
      <w:tr w:rsidR="00897B71" w:rsidRPr="00AA0153" w:rsidTr="00AB1BB0">
        <w:trPr>
          <w:trHeight w:val="3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GRAND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13 416 000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14 220 000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19 967 000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21 046 000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22 098 000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AE9"/>
            <w:vAlign w:val="center"/>
            <w:hideMark/>
          </w:tcPr>
          <w:p w:rsidR="00897B71" w:rsidRPr="00AA0153" w:rsidRDefault="00897B71" w:rsidP="00AB1BB0">
            <w:pPr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897B71" w:rsidRPr="00AA0153" w:rsidRDefault="00897B71" w:rsidP="00897B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both"/>
              <w:rPr>
                <w:rFonts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A0153">
              <w:rPr>
                <w:rFonts w:cs="Arial"/>
                <w:b/>
                <w:bCs/>
                <w:color w:val="000000"/>
                <w:sz w:val="32"/>
                <w:szCs w:val="32"/>
                <w:lang w:eastAsia="en-GB"/>
              </w:rPr>
              <w:t>49 000</w:t>
            </w:r>
          </w:p>
        </w:tc>
      </w:tr>
    </w:tbl>
    <w:p w:rsidR="00897B71" w:rsidRPr="00AA0153" w:rsidRDefault="00897B71" w:rsidP="00897B71">
      <w:pPr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(2)</w:t>
      </w:r>
      <w:r w:rsidRPr="00AA0153">
        <w:rPr>
          <w:rFonts w:ascii="Arial" w:hAnsi="Arial" w:cs="Arial"/>
          <w:sz w:val="32"/>
          <w:szCs w:val="32"/>
        </w:rPr>
        <w:tab/>
        <w:t xml:space="preserve">The Department is committed to transformation of the orchestral sector. It is also a known fact that black musicians and black managers are underrepresented in orchestras. However, the Department is not about to embark on a study or research of the racial ratio of </w:t>
      </w:r>
      <w:proofErr w:type="gramStart"/>
      <w:r w:rsidRPr="00AA0153">
        <w:rPr>
          <w:rFonts w:ascii="Arial" w:hAnsi="Arial" w:cs="Arial"/>
          <w:sz w:val="32"/>
          <w:szCs w:val="32"/>
        </w:rPr>
        <w:t>the  orchestras</w:t>
      </w:r>
      <w:proofErr w:type="gramEnd"/>
      <w:r w:rsidRPr="00AA0153">
        <w:rPr>
          <w:rFonts w:ascii="Arial" w:hAnsi="Arial" w:cs="Arial"/>
          <w:sz w:val="32"/>
          <w:szCs w:val="32"/>
        </w:rPr>
        <w:t xml:space="preserve"> in South Africa over the past 5 years.</w:t>
      </w:r>
    </w:p>
    <w:p w:rsidR="00897B71" w:rsidRPr="00AA0153" w:rsidRDefault="00897B71" w:rsidP="00897B71">
      <w:pPr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(3)</w:t>
      </w:r>
      <w:r w:rsidRPr="00AA0153">
        <w:rPr>
          <w:rFonts w:ascii="Arial" w:hAnsi="Arial" w:cs="Arial"/>
          <w:sz w:val="32"/>
          <w:szCs w:val="32"/>
        </w:rPr>
        <w:tab/>
      </w:r>
      <w:proofErr w:type="spellStart"/>
      <w:r w:rsidRPr="00AA0153">
        <w:rPr>
          <w:rFonts w:ascii="Arial" w:hAnsi="Arial" w:cs="Arial"/>
          <w:sz w:val="32"/>
          <w:szCs w:val="32"/>
        </w:rPr>
        <w:t>Mr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Bongani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Tembe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was initially appointed to project manage the formation stages of the national philharmonic orchestra based on his qualifications and unique experience: </w:t>
      </w:r>
      <w:proofErr w:type="spellStart"/>
      <w:r w:rsidRPr="00AA0153">
        <w:rPr>
          <w:rFonts w:ascii="Arial" w:hAnsi="Arial" w:cs="Arial"/>
          <w:sz w:val="32"/>
          <w:szCs w:val="32"/>
        </w:rPr>
        <w:t>Mr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Bongani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Tembe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has a Bachelors and Masters Degrees in Music from the prestigious Julliard School in New York; he has led the KwaZulu-Natal Philharmonic Orchestra since the dawn of democracy in 1994 (for 29 years); and has been a highly effective CEO of the Johannesburg Philharmonic Orchestra since 2016. As Commissioner-General, he also led the SA-UK Seasons 2014 and 2015 and the SA-French Seasons 2012 and 2013 presenting more than 3000 South African artists in France, for which he was awarded a high </w:t>
      </w:r>
      <w:proofErr w:type="spellStart"/>
      <w:r w:rsidRPr="00AA0153">
        <w:rPr>
          <w:rFonts w:ascii="Arial" w:hAnsi="Arial" w:cs="Arial"/>
          <w:sz w:val="32"/>
          <w:szCs w:val="32"/>
        </w:rPr>
        <w:t>honour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by the French Government.  (</w:t>
      </w:r>
      <w:proofErr w:type="spellStart"/>
      <w:r w:rsidRPr="00AA0153">
        <w:rPr>
          <w:rFonts w:ascii="Arial" w:hAnsi="Arial" w:cs="Arial"/>
          <w:sz w:val="32"/>
          <w:szCs w:val="32"/>
        </w:rPr>
        <w:t>Mr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Bongani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Tembe’s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qualifications and track record are beyond reproach). </w:t>
      </w:r>
    </w:p>
    <w:p w:rsidR="00897B71" w:rsidRPr="00AA0153" w:rsidRDefault="00897B71" w:rsidP="00897B71">
      <w:pPr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ind w:left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 xml:space="preserve">Subsequently (in December 2019), DSAC appointed a board of highly distinguished South Africans who in turn after applying their wisdom and vast experience, appointed </w:t>
      </w:r>
      <w:proofErr w:type="spellStart"/>
      <w:r w:rsidRPr="00AA0153">
        <w:rPr>
          <w:rFonts w:ascii="Arial" w:hAnsi="Arial" w:cs="Arial"/>
          <w:sz w:val="32"/>
          <w:szCs w:val="32"/>
        </w:rPr>
        <w:t>Mr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A0153">
        <w:rPr>
          <w:rFonts w:ascii="Arial" w:hAnsi="Arial" w:cs="Arial"/>
          <w:sz w:val="32"/>
          <w:szCs w:val="32"/>
        </w:rPr>
        <w:t>Tembe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as the Chief Executive and Artistic Director of </w:t>
      </w:r>
      <w:proofErr w:type="spellStart"/>
      <w:r w:rsidRPr="00AA0153">
        <w:rPr>
          <w:rFonts w:ascii="Arial" w:hAnsi="Arial" w:cs="Arial"/>
          <w:sz w:val="32"/>
          <w:szCs w:val="32"/>
        </w:rPr>
        <w:t>Mzansi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National Philharmonic Orchestra.  </w:t>
      </w:r>
    </w:p>
    <w:p w:rsidR="00897B71" w:rsidRPr="00AA0153" w:rsidRDefault="00897B71" w:rsidP="00897B71">
      <w:pPr>
        <w:jc w:val="both"/>
        <w:rPr>
          <w:rFonts w:ascii="Arial" w:hAnsi="Arial" w:cs="Arial"/>
          <w:sz w:val="32"/>
          <w:szCs w:val="32"/>
        </w:rPr>
      </w:pPr>
    </w:p>
    <w:p w:rsidR="00897B71" w:rsidRPr="00AA0153" w:rsidRDefault="00897B71" w:rsidP="00897B71">
      <w:pPr>
        <w:pStyle w:val="ListParagraph"/>
        <w:spacing w:after="0" w:line="240" w:lineRule="auto"/>
        <w:ind w:left="0"/>
        <w:jc w:val="both"/>
        <w:rPr>
          <w:rFonts w:cs="Arial"/>
          <w:sz w:val="32"/>
          <w:szCs w:val="32"/>
        </w:rPr>
      </w:pPr>
      <w:r w:rsidRPr="00AA0153">
        <w:rPr>
          <w:rFonts w:cs="Arial"/>
          <w:sz w:val="32"/>
          <w:szCs w:val="32"/>
        </w:rPr>
        <w:t xml:space="preserve">(4). </w:t>
      </w:r>
      <w:r w:rsidRPr="00AA0153">
        <w:rPr>
          <w:rFonts w:cs="Arial"/>
          <w:sz w:val="32"/>
          <w:szCs w:val="32"/>
        </w:rPr>
        <w:tab/>
        <w:t>According to the 2022 Annual Report o</w:t>
      </w:r>
      <w:r>
        <w:rPr>
          <w:rFonts w:cs="Arial"/>
          <w:sz w:val="32"/>
          <w:szCs w:val="32"/>
        </w:rPr>
        <w:t xml:space="preserve">f </w:t>
      </w:r>
      <w:proofErr w:type="spellStart"/>
      <w:r>
        <w:rPr>
          <w:rFonts w:cs="Arial"/>
          <w:sz w:val="32"/>
          <w:szCs w:val="32"/>
        </w:rPr>
        <w:t>Mzansi</w:t>
      </w:r>
      <w:proofErr w:type="spellEnd"/>
      <w:r>
        <w:rPr>
          <w:rFonts w:cs="Arial"/>
          <w:sz w:val="32"/>
          <w:szCs w:val="32"/>
        </w:rPr>
        <w:t xml:space="preserve"> National Philharmonic </w:t>
      </w:r>
      <w:r w:rsidRPr="00AA0153">
        <w:rPr>
          <w:rFonts w:cs="Arial"/>
          <w:sz w:val="32"/>
          <w:szCs w:val="32"/>
        </w:rPr>
        <w:t xml:space="preserve">Orchestra, which was submitted by DSAC </w:t>
      </w:r>
      <w:r>
        <w:rPr>
          <w:rFonts w:cs="Arial"/>
          <w:sz w:val="32"/>
          <w:szCs w:val="32"/>
        </w:rPr>
        <w:t xml:space="preserve">to the Parliamentary Portfolio </w:t>
      </w:r>
      <w:r w:rsidRPr="00AA0153">
        <w:rPr>
          <w:rFonts w:cs="Arial"/>
          <w:sz w:val="32"/>
          <w:szCs w:val="32"/>
        </w:rPr>
        <w:t>Committee of Sport, Arts and Culture, the national orch</w:t>
      </w:r>
      <w:r>
        <w:rPr>
          <w:rFonts w:cs="Arial"/>
          <w:sz w:val="32"/>
          <w:szCs w:val="32"/>
        </w:rPr>
        <w:t xml:space="preserve">estra, through its </w:t>
      </w:r>
      <w:r>
        <w:rPr>
          <w:rFonts w:cs="Arial"/>
          <w:sz w:val="32"/>
          <w:szCs w:val="32"/>
        </w:rPr>
        <w:tab/>
        <w:t xml:space="preserve">partnership </w:t>
      </w:r>
      <w:r w:rsidRPr="00AA0153">
        <w:rPr>
          <w:rFonts w:cs="Arial"/>
          <w:sz w:val="32"/>
          <w:szCs w:val="32"/>
        </w:rPr>
        <w:t xml:space="preserve">with regional orchestras, has </w:t>
      </w:r>
      <w:r>
        <w:rPr>
          <w:rFonts w:cs="Arial"/>
          <w:sz w:val="32"/>
          <w:szCs w:val="32"/>
        </w:rPr>
        <w:t xml:space="preserve">eight (8) cadets and three (3) </w:t>
      </w:r>
      <w:r w:rsidRPr="00AA0153">
        <w:rPr>
          <w:rFonts w:cs="Arial"/>
          <w:sz w:val="32"/>
          <w:szCs w:val="32"/>
        </w:rPr>
        <w:t>fellows.</w:t>
      </w:r>
    </w:p>
    <w:p w:rsidR="00897B71" w:rsidRPr="00AA0153" w:rsidRDefault="00897B71" w:rsidP="00897B71">
      <w:pPr>
        <w:ind w:left="720" w:hanging="720"/>
        <w:jc w:val="both"/>
        <w:rPr>
          <w:rFonts w:ascii="Arial" w:hAnsi="Arial" w:cs="Arial"/>
          <w:sz w:val="32"/>
          <w:szCs w:val="32"/>
        </w:rPr>
      </w:pPr>
      <w:r w:rsidRPr="00AA0153">
        <w:rPr>
          <w:rFonts w:ascii="Arial" w:hAnsi="Arial" w:cs="Arial"/>
          <w:sz w:val="32"/>
          <w:szCs w:val="32"/>
        </w:rPr>
        <w:t>(5)</w:t>
      </w:r>
      <w:r w:rsidRPr="00AA0153">
        <w:rPr>
          <w:rFonts w:ascii="Arial" w:hAnsi="Arial" w:cs="Arial"/>
          <w:sz w:val="32"/>
          <w:szCs w:val="32"/>
        </w:rPr>
        <w:tab/>
        <w:t xml:space="preserve">The </w:t>
      </w:r>
      <w:proofErr w:type="spellStart"/>
      <w:r w:rsidRPr="00AA0153">
        <w:rPr>
          <w:rFonts w:ascii="Arial" w:hAnsi="Arial" w:cs="Arial"/>
          <w:sz w:val="32"/>
          <w:szCs w:val="32"/>
        </w:rPr>
        <w:t>programmes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of </w:t>
      </w:r>
      <w:proofErr w:type="spellStart"/>
      <w:r w:rsidRPr="00AA0153">
        <w:rPr>
          <w:rFonts w:ascii="Arial" w:hAnsi="Arial" w:cs="Arial"/>
          <w:sz w:val="32"/>
          <w:szCs w:val="32"/>
        </w:rPr>
        <w:t>Mzansi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 Philharmonic, which includes developmental </w:t>
      </w:r>
      <w:proofErr w:type="spellStart"/>
      <w:r w:rsidRPr="00AA0153">
        <w:rPr>
          <w:rFonts w:ascii="Arial" w:hAnsi="Arial" w:cs="Arial"/>
          <w:sz w:val="32"/>
          <w:szCs w:val="32"/>
        </w:rPr>
        <w:t>programmes</w:t>
      </w:r>
      <w:proofErr w:type="spellEnd"/>
      <w:r w:rsidRPr="00AA0153">
        <w:rPr>
          <w:rFonts w:ascii="Arial" w:hAnsi="Arial" w:cs="Arial"/>
          <w:sz w:val="32"/>
          <w:szCs w:val="32"/>
        </w:rPr>
        <w:t xml:space="preserve">, are highlighted in their 2022 annual report which has been distributed to the Parliamentary Portfolio Committee of Sport, Arts and Culture.   </w:t>
      </w:r>
    </w:p>
    <w:p w:rsidR="00AF07FB" w:rsidRDefault="00AF07FB"/>
    <w:sectPr w:rsidR="00AF07FB" w:rsidSect="00B54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62BA"/>
    <w:multiLevelType w:val="hybridMultilevel"/>
    <w:tmpl w:val="47EC9638"/>
    <w:lvl w:ilvl="0" w:tplc="A596EB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savePreviewPicture/>
  <w:compat/>
  <w:rsids>
    <w:rsidRoot w:val="00897B71"/>
    <w:rsid w:val="00597DAA"/>
    <w:rsid w:val="00897B71"/>
    <w:rsid w:val="00AF07FB"/>
    <w:rsid w:val="00B54190"/>
    <w:rsid w:val="00C15E23"/>
    <w:rsid w:val="00C3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1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897B71"/>
    <w:pPr>
      <w:spacing w:after="200" w:line="276" w:lineRule="auto"/>
      <w:ind w:left="993"/>
    </w:pPr>
    <w:rPr>
      <w:rFonts w:ascii="Arial" w:hAnsi="Arial" w:cstheme="minorBidi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99"/>
    <w:qFormat/>
    <w:rsid w:val="00897B71"/>
    <w:pPr>
      <w:spacing w:after="200" w:line="276" w:lineRule="auto"/>
      <w:ind w:left="720"/>
      <w:contextualSpacing/>
    </w:pPr>
    <w:rPr>
      <w:rFonts w:ascii="Arial" w:hAnsi="Arial" w:cstheme="minorBidi"/>
      <w:sz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897B71"/>
    <w:rPr>
      <w:rFonts w:ascii="Arial" w:hAnsi="Arial"/>
      <w:sz w:val="18"/>
    </w:rPr>
  </w:style>
  <w:style w:type="paragraph" w:customStyle="1" w:styleId="Default">
    <w:name w:val="Default"/>
    <w:rsid w:val="00897B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ZA"/>
    </w:rPr>
  </w:style>
  <w:style w:type="paragraph" w:styleId="NoSpacing">
    <w:name w:val="No Spacing"/>
    <w:uiPriority w:val="1"/>
    <w:qFormat/>
    <w:rsid w:val="00897B71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2023-04-26T08:11:00Z</dcterms:created>
  <dcterms:modified xsi:type="dcterms:W3CDTF">2023-04-26T08:11:00Z</dcterms:modified>
</cp:coreProperties>
</file>