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56917" w:rsidRPr="00DC6183" w:rsidRDefault="00F56917" w:rsidP="00F56917">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F56917" w:rsidRPr="00DC6183" w:rsidRDefault="00F56917" w:rsidP="00F56917">
      <w:pPr>
        <w:jc w:val="center"/>
        <w:rPr>
          <w:rFonts w:ascii="Arial" w:hAnsi="Arial" w:cs="Arial"/>
          <w:b/>
          <w:bCs/>
          <w:lang w:val="en-ZA"/>
        </w:rPr>
      </w:pPr>
      <w:r w:rsidRPr="00DC6183">
        <w:rPr>
          <w:rFonts w:ascii="Arial" w:hAnsi="Arial" w:cs="Arial"/>
          <w:b/>
          <w:bCs/>
          <w:lang w:val="en-ZA"/>
        </w:rPr>
        <w:t>FOR WRITTEN REPLY</w:t>
      </w:r>
    </w:p>
    <w:p w:rsidR="00F56917" w:rsidRPr="00DC6183" w:rsidRDefault="00F56917" w:rsidP="00F5691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575</w:t>
      </w:r>
    </w:p>
    <w:p w:rsidR="00F56917" w:rsidRPr="00DC6183" w:rsidRDefault="00F56917" w:rsidP="00F5691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F56917" w:rsidRPr="00FF2AAB" w:rsidRDefault="00F56917" w:rsidP="00F5691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F56917" w:rsidRPr="00153F95" w:rsidRDefault="00F56917" w:rsidP="00F56917">
      <w:pPr>
        <w:spacing w:before="100" w:beforeAutospacing="1" w:after="100" w:afterAutospacing="1" w:line="360" w:lineRule="auto"/>
        <w:ind w:left="709"/>
        <w:jc w:val="both"/>
        <w:rPr>
          <w:rFonts w:ascii="Arial" w:hAnsi="Arial" w:cs="Arial"/>
          <w:lang w:val="en-US" w:eastAsia="en-ZA"/>
        </w:rPr>
      </w:pPr>
      <w:r w:rsidRPr="00153F95">
        <w:rPr>
          <w:rFonts w:ascii="Arial" w:hAnsi="Arial" w:cs="Arial"/>
          <w:b/>
          <w:bCs/>
          <w:lang w:val="en-US" w:eastAsia="en-ZA"/>
        </w:rPr>
        <w:t xml:space="preserve">Ms K D </w:t>
      </w:r>
      <w:proofErr w:type="spellStart"/>
      <w:r w:rsidRPr="00153F95">
        <w:rPr>
          <w:rFonts w:ascii="Arial" w:hAnsi="Arial" w:cs="Arial"/>
          <w:b/>
          <w:bCs/>
          <w:lang w:val="en-US" w:eastAsia="en-ZA"/>
        </w:rPr>
        <w:t>Mahlatsi</w:t>
      </w:r>
      <w:proofErr w:type="spellEnd"/>
      <w:r w:rsidRPr="00153F95">
        <w:rPr>
          <w:rFonts w:ascii="Arial" w:hAnsi="Arial" w:cs="Arial"/>
          <w:b/>
          <w:bCs/>
          <w:lang w:val="en-US" w:eastAsia="en-ZA"/>
        </w:rPr>
        <w:t xml:space="preserve"> (ANC) to ask the Minister of Higher Education, Science and Innovation</w:t>
      </w:r>
      <w:r w:rsidR="00181540" w:rsidRPr="00153F95">
        <w:rPr>
          <w:rFonts w:ascii="Arial" w:hAnsi="Arial" w:cs="Arial"/>
          <w:b/>
          <w:bCs/>
          <w:lang w:val="en-US" w:eastAsia="en-ZA"/>
        </w:rPr>
        <w:fldChar w:fldCharType="begin"/>
      </w:r>
      <w:r w:rsidRPr="00153F95">
        <w:rPr>
          <w:rFonts w:ascii="Arial" w:hAnsi="Arial" w:cs="Arial"/>
          <w:lang w:val="en-ZA"/>
        </w:rPr>
        <w:instrText xml:space="preserve"> XE "</w:instrText>
      </w:r>
      <w:r w:rsidRPr="00153F95">
        <w:rPr>
          <w:rFonts w:ascii="Arial" w:hAnsi="Arial" w:cs="Arial"/>
          <w:b/>
          <w:lang w:val="en-ZA"/>
        </w:rPr>
        <w:instrText xml:space="preserve">Minister of Higher Education, Science and </w:instrText>
      </w:r>
      <w:r w:rsidRPr="00153F95">
        <w:rPr>
          <w:rFonts w:ascii="Arial" w:hAnsi="Arial" w:cs="Arial"/>
          <w:b/>
          <w:bCs/>
          <w:lang w:val="en-ZA"/>
        </w:rPr>
        <w:instrText>Innovation</w:instrText>
      </w:r>
      <w:r w:rsidRPr="00153F95">
        <w:rPr>
          <w:rFonts w:ascii="Arial" w:hAnsi="Arial" w:cs="Arial"/>
          <w:lang w:val="en-ZA"/>
        </w:rPr>
        <w:instrText xml:space="preserve">" </w:instrText>
      </w:r>
      <w:r w:rsidR="00181540" w:rsidRPr="00153F95">
        <w:rPr>
          <w:rFonts w:ascii="Arial" w:hAnsi="Arial" w:cs="Arial"/>
          <w:b/>
          <w:bCs/>
          <w:lang w:val="en-US" w:eastAsia="en-ZA"/>
        </w:rPr>
        <w:fldChar w:fldCharType="end"/>
      </w:r>
      <w:r w:rsidRPr="00153F95">
        <w:rPr>
          <w:rFonts w:ascii="Arial" w:hAnsi="Arial" w:cs="Arial"/>
          <w:b/>
          <w:bCs/>
          <w:lang w:val="en-US" w:eastAsia="en-ZA"/>
        </w:rPr>
        <w:t>: [</w:t>
      </w:r>
      <w:r w:rsidRPr="00153F95">
        <w:rPr>
          <w:rFonts w:ascii="Arial" w:hAnsi="Arial" w:cs="Arial"/>
          <w:b/>
          <w:bCs/>
          <w:lang w:eastAsia="en-ZA"/>
        </w:rPr>
        <w:t>138]</w:t>
      </w:r>
      <w:r w:rsidRPr="00153F95">
        <w:rPr>
          <w:rFonts w:ascii="Arial" w:hAnsi="Arial" w:cs="Arial"/>
          <w:b/>
          <w:lang w:val="en-ZA" w:eastAsia="en-ZA"/>
        </w:rPr>
        <w:t xml:space="preserve"> [Question submitted for oral reply now placed for written reply because it is in excess of quota (Rule 137(8))]:</w:t>
      </w:r>
    </w:p>
    <w:p w:rsidR="00F56917" w:rsidRDefault="00F56917" w:rsidP="00F56917">
      <w:pPr>
        <w:spacing w:before="100" w:beforeAutospacing="1" w:after="100" w:afterAutospacing="1" w:line="360" w:lineRule="auto"/>
        <w:ind w:left="720" w:hanging="11"/>
        <w:jc w:val="both"/>
        <w:rPr>
          <w:rFonts w:ascii="Arial" w:hAnsi="Arial" w:cs="Arial"/>
          <w:lang w:val="en-US" w:eastAsia="en-ZA"/>
        </w:rPr>
      </w:pPr>
      <w:r w:rsidRPr="00153F95">
        <w:rPr>
          <w:rFonts w:ascii="Arial" w:hAnsi="Arial" w:cs="Arial"/>
          <w:lang w:val="en-US" w:eastAsia="en-ZA"/>
        </w:rPr>
        <w:t>What has been the impact of the research and development tax incentive in increasing research and development investment as a percentage of the Gross Domestic Product?</w:t>
      </w:r>
      <w:r w:rsidRPr="00153F95">
        <w:rPr>
          <w:rFonts w:ascii="Arial" w:hAnsi="Arial" w:cs="Arial"/>
          <w:lang w:val="en-US" w:eastAsia="en-ZA"/>
        </w:rPr>
        <w:tab/>
      </w:r>
      <w:r w:rsidRPr="00153F95">
        <w:rPr>
          <w:rFonts w:ascii="Arial" w:hAnsi="Arial" w:cs="Arial"/>
          <w:lang w:val="en-US" w:eastAsia="en-ZA"/>
        </w:rPr>
        <w:tab/>
      </w:r>
      <w:r w:rsidRPr="00153F95">
        <w:rPr>
          <w:rFonts w:ascii="Arial" w:hAnsi="Arial" w:cs="Arial"/>
          <w:lang w:val="en-US" w:eastAsia="en-ZA"/>
        </w:rPr>
        <w:tab/>
      </w:r>
      <w:r w:rsidRPr="00153F95">
        <w:rPr>
          <w:rFonts w:ascii="Arial" w:hAnsi="Arial" w:cs="Arial"/>
          <w:lang w:val="en-US" w:eastAsia="en-ZA"/>
        </w:rPr>
        <w:tab/>
      </w:r>
      <w:r w:rsidRPr="00153F95">
        <w:rPr>
          <w:rFonts w:ascii="Arial" w:hAnsi="Arial" w:cs="Arial"/>
          <w:lang w:val="en-US" w:eastAsia="en-ZA"/>
        </w:rPr>
        <w:tab/>
      </w:r>
      <w:r w:rsidRPr="00153F95">
        <w:rPr>
          <w:rFonts w:ascii="Arial" w:hAnsi="Arial" w:cs="Arial"/>
          <w:lang w:val="en-US" w:eastAsia="en-ZA"/>
        </w:rPr>
        <w:tab/>
      </w:r>
      <w:r w:rsidRPr="00153F95">
        <w:rPr>
          <w:rFonts w:ascii="Arial" w:hAnsi="Arial" w:cs="Arial"/>
          <w:lang w:val="en-US" w:eastAsia="en-ZA"/>
        </w:rPr>
        <w:tab/>
      </w:r>
      <w:r w:rsidRPr="00153F95">
        <w:rPr>
          <w:rFonts w:ascii="Arial" w:hAnsi="Arial" w:cs="Arial"/>
          <w:lang w:val="en-US" w:eastAsia="en-ZA"/>
        </w:rPr>
        <w:tab/>
      </w:r>
      <w:r w:rsidRPr="00153F95">
        <w:rPr>
          <w:rFonts w:ascii="Arial" w:hAnsi="Arial" w:cs="Arial"/>
          <w:lang w:val="en-US" w:eastAsia="en-ZA"/>
        </w:rPr>
        <w:tab/>
      </w:r>
      <w:r w:rsidRPr="00153F95">
        <w:rPr>
          <w:rFonts w:ascii="Arial" w:hAnsi="Arial" w:cs="Arial"/>
          <w:lang w:val="en-US" w:eastAsia="en-ZA"/>
        </w:rPr>
        <w:tab/>
        <w:t xml:space="preserve"> </w:t>
      </w:r>
    </w:p>
    <w:p w:rsidR="00F56917" w:rsidRPr="00153F95" w:rsidRDefault="00F56917" w:rsidP="00F56917">
      <w:pPr>
        <w:spacing w:before="100" w:beforeAutospacing="1" w:after="100" w:afterAutospacing="1" w:line="360" w:lineRule="auto"/>
        <w:ind w:left="7920"/>
        <w:jc w:val="both"/>
        <w:rPr>
          <w:rFonts w:ascii="Arial" w:hAnsi="Arial" w:cs="Arial"/>
          <w:b/>
          <w:bCs/>
          <w:lang w:val="en-US" w:eastAsia="en-ZA"/>
        </w:rPr>
      </w:pPr>
      <w:r w:rsidRPr="00153F95">
        <w:rPr>
          <w:rFonts w:ascii="Arial" w:hAnsi="Arial" w:cs="Arial"/>
          <w:b/>
          <w:bCs/>
          <w:lang w:val="en-US" w:eastAsia="en-ZA"/>
        </w:rPr>
        <w:t xml:space="preserve">NW640E </w:t>
      </w:r>
    </w:p>
    <w:p w:rsidR="00F56917" w:rsidRDefault="00F56917" w:rsidP="00F56917">
      <w:pPr>
        <w:spacing w:before="100" w:beforeAutospacing="1" w:after="100" w:afterAutospacing="1" w:line="360" w:lineRule="auto"/>
        <w:ind w:right="28"/>
        <w:jc w:val="both"/>
        <w:rPr>
          <w:rFonts w:ascii="Arial" w:hAnsi="Arial" w:cs="Arial"/>
          <w:b/>
        </w:rPr>
      </w:pPr>
    </w:p>
    <w:p w:rsidR="00F56917" w:rsidRDefault="00F56917" w:rsidP="00F56917">
      <w:pPr>
        <w:spacing w:before="100" w:beforeAutospacing="1" w:after="100" w:afterAutospacing="1" w:line="360" w:lineRule="auto"/>
        <w:ind w:right="28"/>
        <w:jc w:val="both"/>
        <w:rPr>
          <w:rFonts w:ascii="Arial" w:hAnsi="Arial" w:cs="Arial"/>
          <w:b/>
        </w:rPr>
      </w:pPr>
    </w:p>
    <w:p w:rsidR="00F56917" w:rsidRDefault="00F56917" w:rsidP="00F56917">
      <w:pPr>
        <w:spacing w:before="100" w:beforeAutospacing="1" w:after="100" w:afterAutospacing="1" w:line="360" w:lineRule="auto"/>
        <w:ind w:right="28"/>
        <w:jc w:val="both"/>
        <w:rPr>
          <w:rFonts w:ascii="Arial" w:hAnsi="Arial" w:cs="Arial"/>
          <w:b/>
        </w:rPr>
      </w:pPr>
    </w:p>
    <w:p w:rsidR="00F56917" w:rsidRDefault="00F56917" w:rsidP="00F56917">
      <w:pPr>
        <w:spacing w:before="100" w:beforeAutospacing="1" w:after="100" w:afterAutospacing="1" w:line="360" w:lineRule="auto"/>
        <w:ind w:right="28"/>
        <w:jc w:val="both"/>
        <w:rPr>
          <w:rFonts w:ascii="Arial" w:hAnsi="Arial" w:cs="Arial"/>
          <w:b/>
        </w:rPr>
      </w:pPr>
    </w:p>
    <w:p w:rsidR="001608EB" w:rsidRDefault="001608EB" w:rsidP="00F56917">
      <w:pPr>
        <w:spacing w:before="100" w:beforeAutospacing="1" w:after="100" w:afterAutospacing="1" w:line="360" w:lineRule="auto"/>
        <w:ind w:right="28"/>
        <w:jc w:val="both"/>
        <w:rPr>
          <w:rFonts w:ascii="Arial" w:hAnsi="Arial" w:cs="Arial"/>
          <w:b/>
        </w:rPr>
      </w:pPr>
    </w:p>
    <w:p w:rsidR="001608EB" w:rsidRDefault="001608EB" w:rsidP="00F56917">
      <w:pPr>
        <w:spacing w:before="100" w:beforeAutospacing="1" w:after="100" w:afterAutospacing="1" w:line="360" w:lineRule="auto"/>
        <w:ind w:right="28"/>
        <w:jc w:val="both"/>
        <w:rPr>
          <w:rFonts w:ascii="Arial" w:hAnsi="Arial" w:cs="Arial"/>
          <w:b/>
        </w:rPr>
      </w:pPr>
    </w:p>
    <w:p w:rsidR="001608EB" w:rsidRDefault="001608EB" w:rsidP="00F56917">
      <w:pPr>
        <w:spacing w:before="100" w:beforeAutospacing="1" w:after="100" w:afterAutospacing="1" w:line="360" w:lineRule="auto"/>
        <w:ind w:right="28"/>
        <w:jc w:val="both"/>
        <w:rPr>
          <w:rFonts w:ascii="Arial" w:hAnsi="Arial" w:cs="Arial"/>
          <w:b/>
        </w:rPr>
      </w:pPr>
    </w:p>
    <w:p w:rsidR="001608EB" w:rsidRDefault="001608EB" w:rsidP="00F56917">
      <w:pPr>
        <w:spacing w:before="100" w:beforeAutospacing="1" w:after="100" w:afterAutospacing="1" w:line="360" w:lineRule="auto"/>
        <w:ind w:right="28"/>
        <w:jc w:val="both"/>
        <w:rPr>
          <w:rFonts w:ascii="Arial" w:hAnsi="Arial" w:cs="Arial"/>
          <w:b/>
        </w:rPr>
      </w:pPr>
    </w:p>
    <w:p w:rsidR="001608EB" w:rsidRDefault="001608EB" w:rsidP="00F56917">
      <w:pPr>
        <w:spacing w:before="100" w:beforeAutospacing="1" w:after="100" w:afterAutospacing="1" w:line="360" w:lineRule="auto"/>
        <w:ind w:right="28"/>
        <w:jc w:val="both"/>
        <w:rPr>
          <w:rFonts w:ascii="Arial" w:hAnsi="Arial" w:cs="Arial"/>
          <w:b/>
        </w:rPr>
      </w:pPr>
    </w:p>
    <w:p w:rsidR="00F56917" w:rsidRPr="008C5E29" w:rsidRDefault="00F56917" w:rsidP="00F56917">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F56917" w:rsidRPr="00DA73EC" w:rsidRDefault="00F56917" w:rsidP="00F56917">
      <w:pPr>
        <w:spacing w:after="0" w:line="360" w:lineRule="auto"/>
        <w:jc w:val="both"/>
        <w:rPr>
          <w:rFonts w:ascii="Arial" w:eastAsia="Times New Roman" w:hAnsi="Arial" w:cs="Arial"/>
        </w:rPr>
      </w:pPr>
      <w:r w:rsidRPr="00DA73EC">
        <w:rPr>
          <w:rFonts w:ascii="Arial" w:eastAsia="Times New Roman" w:hAnsi="Arial" w:cs="Arial"/>
        </w:rPr>
        <w:t>Independent studies and assessments have been conducted on the impact of the R&amp;D tax incentive.  These studies and assessments were considered during the recent policy review of the R&amp;D tax incentive programme, the outcome of which culminated in the Minister of Finance announcing in his 2023 Budget Speech a 10-year extension of the incentive until 31 December 2033.  As part of this policy review a Discussion Document was published on 15 December 2021 by the National Treasury and the Department of Science and Innovation, which document referred to and referenced the relevant studies.  The Discussion Document is available on the National Treasury’s website.</w:t>
      </w:r>
    </w:p>
    <w:p w:rsidR="00F56917" w:rsidRPr="00DA73EC" w:rsidRDefault="00F56917" w:rsidP="00F56917">
      <w:pPr>
        <w:spacing w:before="100" w:beforeAutospacing="1" w:after="100" w:afterAutospacing="1" w:line="360" w:lineRule="auto"/>
        <w:jc w:val="both"/>
        <w:rPr>
          <w:rFonts w:ascii="Arial" w:hAnsi="Arial" w:cs="Arial"/>
          <w:b/>
        </w:rPr>
      </w:pPr>
      <w:r w:rsidRPr="00DA73EC">
        <w:rPr>
          <w:rFonts w:ascii="Arial" w:eastAsia="Times New Roman" w:hAnsi="Arial" w:cs="Arial"/>
        </w:rPr>
        <w:t xml:space="preserve">In terms of impact, the study conducted by James (2017) indicated that companies benefiting from the R&amp;D tax incentive spend an additional R4 million on R&amp;D compared to those who conducted R&amp;D but did not benefit from the incentive.  The study indicated that while the revenue foregone between 2008 and 2015 was about R7 billion, the additional R&amp;D spending was nearly R13 billion. This implies that for every one rand of tax revenue foregone by the </w:t>
      </w:r>
      <w:proofErr w:type="spellStart"/>
      <w:r w:rsidRPr="00DA73EC">
        <w:rPr>
          <w:rFonts w:ascii="Arial" w:eastAsia="Times New Roman" w:hAnsi="Arial" w:cs="Arial"/>
        </w:rPr>
        <w:t>fiscus</w:t>
      </w:r>
      <w:proofErr w:type="spellEnd"/>
      <w:r w:rsidRPr="00DA73EC">
        <w:rPr>
          <w:rFonts w:ascii="Arial" w:eastAsia="Times New Roman" w:hAnsi="Arial" w:cs="Arial"/>
        </w:rPr>
        <w:t>, these companies spent an additional R1.83 on R&amp;D.  Another study also indicated positive and significant effects associated with the R&amp;D tax incentive, in that companies that received the R&amp;D tax allowance increased in-house R&amp;D investment in terms of expenditure and intensity and reduced technology in-licensing.</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A1" w:rsidRDefault="00DA34A1">
      <w:pPr>
        <w:spacing w:after="0" w:line="240" w:lineRule="auto"/>
      </w:pPr>
      <w:r>
        <w:separator/>
      </w:r>
    </w:p>
  </w:endnote>
  <w:endnote w:type="continuationSeparator" w:id="0">
    <w:p w:rsidR="00DA34A1" w:rsidRDefault="00DA3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A1" w:rsidRDefault="00DA34A1">
      <w:pPr>
        <w:spacing w:after="0" w:line="240" w:lineRule="auto"/>
      </w:pPr>
      <w:r>
        <w:separator/>
      </w:r>
    </w:p>
  </w:footnote>
  <w:footnote w:type="continuationSeparator" w:id="0">
    <w:p w:rsidR="00DA34A1" w:rsidRDefault="00DA3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10"/>
  </w:num>
  <w:num w:numId="5">
    <w:abstractNumId w:val="13"/>
  </w:num>
  <w:num w:numId="6">
    <w:abstractNumId w:val="15"/>
  </w:num>
  <w:num w:numId="7">
    <w:abstractNumId w:val="24"/>
  </w:num>
  <w:num w:numId="8">
    <w:abstractNumId w:val="20"/>
  </w:num>
  <w:num w:numId="9">
    <w:abstractNumId w:val="22"/>
  </w:num>
  <w:num w:numId="10">
    <w:abstractNumId w:val="25"/>
  </w:num>
  <w:num w:numId="11">
    <w:abstractNumId w:val="0"/>
  </w:num>
  <w:num w:numId="12">
    <w:abstractNumId w:val="1"/>
  </w:num>
  <w:num w:numId="13">
    <w:abstractNumId w:val="12"/>
  </w:num>
  <w:num w:numId="14">
    <w:abstractNumId w:val="26"/>
  </w:num>
  <w:num w:numId="15">
    <w:abstractNumId w:val="4"/>
  </w:num>
  <w:num w:numId="16">
    <w:abstractNumId w:val="7"/>
  </w:num>
  <w:num w:numId="17">
    <w:abstractNumId w:val="5"/>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num>
  <w:num w:numId="22">
    <w:abstractNumId w:val="19"/>
  </w:num>
  <w:num w:numId="23">
    <w:abstractNumId w:val="6"/>
  </w:num>
  <w:num w:numId="24">
    <w:abstractNumId w:val="16"/>
  </w:num>
  <w:num w:numId="25">
    <w:abstractNumId w:val="9"/>
  </w:num>
  <w:num w:numId="26">
    <w:abstractNumId w:val="23"/>
  </w:num>
  <w:num w:numId="27">
    <w:abstractNumId w:val="21"/>
  </w:num>
  <w:num w:numId="2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3DE9"/>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540"/>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01D9"/>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73FE3"/>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0A84"/>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A1"/>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3FFABF-CDE0-404C-B6DF-9DBAABB8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2023-03-20T11:27:00Z</dcterms:created>
  <dcterms:modified xsi:type="dcterms:W3CDTF">2023-03-20T11:27:00Z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